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7" w:rsidRPr="00466408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28"/>
          <w:szCs w:val="30"/>
        </w:rPr>
      </w:pPr>
      <w:r w:rsidRPr="00466408">
        <w:rPr>
          <w:rFonts w:ascii="Times New Roman" w:eastAsia="方正仿宋简体" w:hAnsi="Times New Roman" w:cs="Times New Roman"/>
          <w:sz w:val="28"/>
          <w:szCs w:val="30"/>
        </w:rPr>
        <w:t>附件</w:t>
      </w:r>
    </w:p>
    <w:p w:rsidR="00FE3F47" w:rsidRPr="00466408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FE3F47" w:rsidRPr="00466408" w:rsidRDefault="00FE3F47" w:rsidP="005C30FF">
      <w:pPr>
        <w:adjustRightInd w:val="0"/>
        <w:snapToGrid w:val="0"/>
        <w:jc w:val="center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主办券商执业质量月度评价结果（</w:t>
      </w: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2016</w:t>
      </w: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年</w:t>
      </w:r>
      <w:r w:rsidR="00743872"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10</w:t>
      </w: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月）</w:t>
      </w: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一、综合点值</w:t>
      </w:r>
      <w:r w:rsidRPr="00466408">
        <w:rPr>
          <w:rStyle w:val="ab"/>
          <w:rFonts w:ascii="Times New Roman" w:eastAsia="黑体" w:hAnsi="Times New Roman" w:cs="Times New Roman"/>
          <w:sz w:val="36"/>
          <w:szCs w:val="36"/>
        </w:rPr>
        <w:endnoteReference w:id="1"/>
      </w:r>
    </w:p>
    <w:tbl>
      <w:tblPr>
        <w:tblW w:w="15487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304"/>
        <w:gridCol w:w="721"/>
        <w:gridCol w:w="711"/>
        <w:gridCol w:w="796"/>
        <w:gridCol w:w="709"/>
        <w:gridCol w:w="850"/>
        <w:gridCol w:w="993"/>
        <w:gridCol w:w="992"/>
        <w:gridCol w:w="992"/>
        <w:gridCol w:w="709"/>
        <w:gridCol w:w="709"/>
        <w:gridCol w:w="708"/>
        <w:gridCol w:w="709"/>
        <w:gridCol w:w="709"/>
        <w:gridCol w:w="709"/>
        <w:gridCol w:w="893"/>
        <w:gridCol w:w="893"/>
        <w:gridCol w:w="953"/>
      </w:tblGrid>
      <w:tr w:rsidR="00FE3F47" w:rsidRPr="00466408" w:rsidTr="004A0BD7">
        <w:trPr>
          <w:trHeight w:val="285"/>
          <w:tblHeader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负面行为记录数量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业务量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业务点值计算系数</w:t>
            </w: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(b)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466408" w:rsidRDefault="008B4726" w:rsidP="008B7C95">
            <w:pPr>
              <w:widowControl/>
              <w:jc w:val="center"/>
              <w:rPr>
                <w:rFonts w:ascii="Times New Roman" w:eastAsia="宋体" w:hAnsi="Times New Roman" w:cs="Times New Roman"/>
                <w:color w:val="0563C1"/>
                <w:kern w:val="0"/>
                <w:sz w:val="22"/>
                <w:u w:val="single"/>
              </w:rPr>
            </w:pPr>
            <w:hyperlink w:anchor="RANGE!_edn1" w:history="1">
              <w:r w:rsidR="00FE3F47" w:rsidRPr="00466408">
                <w:rPr>
                  <w:rFonts w:ascii="Times New Roman" w:eastAsia="方正仿宋简体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综合点值　</w:t>
              </w:r>
            </w:hyperlink>
          </w:p>
        </w:tc>
      </w:tr>
      <w:tr w:rsidR="00FE3F47" w:rsidRPr="00466408" w:rsidTr="004A0BD7">
        <w:trPr>
          <w:trHeight w:val="1381"/>
          <w:tblHeader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推荐挂牌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交易管理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当期推荐挂牌企业家数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做市企业家数当期平均值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466408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466408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(b1*30)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466408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(b2*30)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(b3*30)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(b4*10)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方正证券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167.00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招商证券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278.00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上海证券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太平洋证券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万联证券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华龙证券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银河证券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九州证券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爱建证券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德邦证券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渤海证券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红塔证券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川财证券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山西证券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中金公司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长江证券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广州证券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中投证券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长城证券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东方证券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湘财证券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中山证券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南京证券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中信建投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155.50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光大证券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海通证券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华融证券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西部证券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广发证券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279.00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华鑫证券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天风证券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英大证券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财富证券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江海证券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民生证券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财达证券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申万宏源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630.50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630.50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大通证券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浙商证券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首创证券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五矿证券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世纪证券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113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金元证券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国开证券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恒泰证券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东方财富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新时代证券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国泰君安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中银国际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财通证券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第一创业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安信证券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472.00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宏信证券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兴业证券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286.50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平安证券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国都证券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国融证券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开源证券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129.50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155.50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154.00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信达证券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联讯证券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西南证券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长城国瑞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万和证券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民族证券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银泰证券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华宝证券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中天证券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大同证券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中邮证券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93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网信证券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海际证券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831AAB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联储证券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31AAB" w:rsidRPr="00466408" w:rsidRDefault="00831AAB" w:rsidP="00831A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</w:tbl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二、评价点值及排序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445"/>
        <w:gridCol w:w="1560"/>
        <w:gridCol w:w="844"/>
        <w:gridCol w:w="1276"/>
        <w:gridCol w:w="1134"/>
        <w:gridCol w:w="1276"/>
        <w:gridCol w:w="1134"/>
        <w:gridCol w:w="997"/>
        <w:gridCol w:w="1002"/>
        <w:gridCol w:w="1053"/>
        <w:gridCol w:w="1200"/>
        <w:gridCol w:w="974"/>
        <w:gridCol w:w="992"/>
        <w:gridCol w:w="1134"/>
      </w:tblGrid>
      <w:tr w:rsidR="00FE3F47" w:rsidRPr="00466408" w:rsidTr="00CF6151">
        <w:trPr>
          <w:trHeight w:val="270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FE3F47" w:rsidRPr="00466408" w:rsidRDefault="00FE3F47" w:rsidP="00E11DB3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FE3F47" w:rsidRPr="00466408" w:rsidRDefault="00FE3F47" w:rsidP="00E11DB3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844" w:type="dxa"/>
            <w:vMerge w:val="restart"/>
            <w:vAlign w:val="center"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综合点值</w:t>
            </w:r>
          </w:p>
        </w:tc>
        <w:tc>
          <w:tcPr>
            <w:tcW w:w="6819" w:type="dxa"/>
            <w:gridSpan w:val="6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加点项</w:t>
            </w:r>
          </w:p>
        </w:tc>
        <w:tc>
          <w:tcPr>
            <w:tcW w:w="1053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减点项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FE3F47" w:rsidRPr="00466408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评价</w:t>
            </w:r>
          </w:p>
          <w:p w:rsidR="00FE3F47" w:rsidRPr="00466408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点值</w:t>
            </w:r>
          </w:p>
        </w:tc>
        <w:tc>
          <w:tcPr>
            <w:tcW w:w="974" w:type="dxa"/>
            <w:vMerge w:val="restart"/>
            <w:noWrap/>
            <w:vAlign w:val="center"/>
            <w:hideMark/>
          </w:tcPr>
          <w:p w:rsidR="00FE3F47" w:rsidRPr="00466408" w:rsidRDefault="00CF6151" w:rsidP="00A706B3">
            <w:pPr>
              <w:ind w:leftChars="-16" w:rightChars="-51" w:right="-107" w:hangingChars="16" w:hanging="34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10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992" w:type="dxa"/>
            <w:vMerge w:val="restart"/>
            <w:vAlign w:val="center"/>
          </w:tcPr>
          <w:p w:rsidR="00FE3F47" w:rsidRPr="00466408" w:rsidRDefault="00CF6151" w:rsidP="00A706B3">
            <w:pPr>
              <w:ind w:leftChars="-60" w:left="-2" w:rightChars="-51" w:right="-107" w:hangingChars="59" w:hanging="124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9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1134" w:type="dxa"/>
            <w:vMerge w:val="restart"/>
          </w:tcPr>
          <w:p w:rsidR="00FE3F47" w:rsidRPr="00466408" w:rsidRDefault="00FE3F47" w:rsidP="00CF6151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4-</w:t>
            </w:r>
            <w:r w:rsidR="00CF6151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10</w:t>
            </w: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月累计计值排序</w:t>
            </w:r>
            <w:r w:rsidR="00A706B3" w:rsidRPr="00466408">
              <w:rPr>
                <w:rFonts w:ascii="Times New Roman" w:eastAsia="楷体" w:hAnsi="Times New Roman" w:cs="Times New Roman"/>
                <w:sz w:val="24"/>
                <w:szCs w:val="24"/>
              </w:rPr>
              <w:t>**</w:t>
            </w:r>
          </w:p>
        </w:tc>
      </w:tr>
      <w:tr w:rsidR="00FE3F47" w:rsidRPr="00466408" w:rsidTr="00CF6151">
        <w:trPr>
          <w:trHeight w:val="285"/>
          <w:jc w:val="center"/>
        </w:trPr>
        <w:tc>
          <w:tcPr>
            <w:tcW w:w="445" w:type="dxa"/>
            <w:vMerge/>
          </w:tcPr>
          <w:p w:rsidR="00FE3F47" w:rsidRPr="00466408" w:rsidRDefault="00FE3F47" w:rsidP="00E11DB3">
            <w:pPr>
              <w:widowControl/>
              <w:ind w:leftChars="-51" w:left="-107"/>
              <w:jc w:val="center"/>
              <w:rPr>
                <w:rFonts w:ascii="Times New Roman" w:eastAsia="Adobe 楷体 Std R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E3F47" w:rsidRPr="00466408" w:rsidRDefault="00FE3F47" w:rsidP="00E11DB3">
            <w:pPr>
              <w:widowControl/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vMerge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推荐有行为公司家数</w:t>
            </w:r>
          </w:p>
        </w:tc>
        <w:tc>
          <w:tcPr>
            <w:tcW w:w="1134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发行次数</w:t>
            </w:r>
          </w:p>
        </w:tc>
        <w:tc>
          <w:tcPr>
            <w:tcW w:w="1276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做市成交量</w:t>
            </w:r>
          </w:p>
        </w:tc>
        <w:tc>
          <w:tcPr>
            <w:tcW w:w="1134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做市即时性指标</w:t>
            </w:r>
          </w:p>
        </w:tc>
        <w:tc>
          <w:tcPr>
            <w:tcW w:w="997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并购重组家数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FE3F47" w:rsidRPr="00466408" w:rsidRDefault="00FE3F47" w:rsidP="00AC624E">
            <w:pPr>
              <w:widowControl/>
              <w:ind w:leftChars="-62" w:left="1" w:rightChars="-35" w:right="-73" w:hangingChars="62" w:hanging="131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合计加点</w:t>
            </w:r>
          </w:p>
        </w:tc>
        <w:tc>
          <w:tcPr>
            <w:tcW w:w="1053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ind w:leftChars="-25" w:left="-53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自律监管措施</w:t>
            </w:r>
          </w:p>
        </w:tc>
        <w:tc>
          <w:tcPr>
            <w:tcW w:w="1200" w:type="dxa"/>
            <w:vMerge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shd w:val="clear" w:color="auto" w:fill="E7E6E6" w:themeFill="background2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方正证券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103.50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招商证券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上海证券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太平洋证券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万联证券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华龙证券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银河证券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东吴证券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九州证券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爱建证券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德邦证券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渤海证券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华泰证券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红塔证券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川财证券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山西证券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中金公司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华西证券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国盛证券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长江证券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广州证券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东北证券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97.50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中投证券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长城证券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中泰证券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东方证券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东莞证券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湘财证券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国金证券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中山证券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南京证券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华福证券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中信建投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93.50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国信证券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光大证券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国联证券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海通证券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华融证券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西部证券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广发证券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华鑫证券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天风证券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英大证券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财富证券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东海证券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江海证券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民生证券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财达证券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申万宏源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大通证券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浙商证券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首创证券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中原证券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五矿证券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世纪证券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华金证券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金元证券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国开证券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恒泰证券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国元证券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61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中航证券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东方财富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新时代证券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-2.00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国泰君安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中银国际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财通证券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第一创业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安信证券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华安证券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东兴证券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宏信证券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兴业证券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华创证券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平安证券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国都证券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国融证券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开源证券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国海证券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中信证券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信达证券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华信证券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华林证券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联讯证券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西南证券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85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长城国瑞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万和证券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民族证券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银泰证券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华宝证券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中天证券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大同证券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中邮证券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网信证券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海际证券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CF6151" w:rsidRPr="00466408" w:rsidTr="00CF6151">
        <w:trPr>
          <w:trHeight w:val="270"/>
          <w:jc w:val="center"/>
        </w:trPr>
        <w:tc>
          <w:tcPr>
            <w:tcW w:w="445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56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联储证券</w:t>
            </w:r>
          </w:p>
        </w:tc>
        <w:tc>
          <w:tcPr>
            <w:tcW w:w="844" w:type="dxa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F6151" w:rsidRPr="00466408" w:rsidRDefault="00CF6151" w:rsidP="00CF61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66408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</w:tbl>
    <w:p w:rsidR="00FE3F47" w:rsidRPr="00466408" w:rsidRDefault="00FE3F47" w:rsidP="00FE3F47">
      <w:pPr>
        <w:rPr>
          <w:rFonts w:ascii="Times New Roman" w:hAnsi="Times New Roman" w:cs="Times New Roman"/>
        </w:rPr>
      </w:pPr>
    </w:p>
    <w:p w:rsidR="004708C4" w:rsidRPr="00466408" w:rsidRDefault="004708C4">
      <w:pPr>
        <w:rPr>
          <w:rFonts w:ascii="Times New Roman" w:eastAsia="楷体" w:hAnsi="Times New Roman" w:cs="Times New Roman"/>
          <w:sz w:val="24"/>
          <w:szCs w:val="24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</w:t>
      </w:r>
      <w:r w:rsidR="00CF6151" w:rsidRPr="00466408">
        <w:rPr>
          <w:rFonts w:ascii="Times New Roman" w:eastAsia="楷体" w:hAnsi="Times New Roman" w:cs="Times New Roman"/>
          <w:sz w:val="24"/>
          <w:szCs w:val="24"/>
        </w:rPr>
        <w:t>9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月评价结果经复议后调整</w:t>
      </w:r>
      <w:r w:rsidRPr="00466408">
        <w:rPr>
          <w:rFonts w:ascii="Times New Roman" w:eastAsia="楷体" w:hAnsi="Times New Roman" w:cs="Times New Roman"/>
          <w:sz w:val="24"/>
          <w:szCs w:val="24"/>
        </w:rPr>
        <w:t>，星号标注为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排序</w:t>
      </w:r>
      <w:r w:rsidRPr="00466408">
        <w:rPr>
          <w:rFonts w:ascii="Times New Roman" w:eastAsia="楷体" w:hAnsi="Times New Roman" w:cs="Times New Roman"/>
          <w:sz w:val="24"/>
          <w:szCs w:val="24"/>
        </w:rPr>
        <w:t>变动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超过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5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（包含）位以上。</w:t>
      </w:r>
    </w:p>
    <w:p w:rsidR="00B81BCC" w:rsidRPr="00466408" w:rsidRDefault="004708C4">
      <w:pPr>
        <w:rPr>
          <w:rFonts w:ascii="Times New Roman" w:hAnsi="Times New Roman" w:cs="Times New Roman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**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4-</w:t>
      </w:r>
      <w:r w:rsidR="00CF6151" w:rsidRPr="00466408">
        <w:rPr>
          <w:rFonts w:ascii="Times New Roman" w:eastAsia="楷体" w:hAnsi="Times New Roman" w:cs="Times New Roman"/>
          <w:sz w:val="24"/>
          <w:szCs w:val="24"/>
        </w:rPr>
        <w:t>10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月累计评价排序按照复议调整后的参数进行计算所得。</w:t>
      </w:r>
    </w:p>
    <w:sectPr w:rsidR="00B81BCC" w:rsidRPr="00466408" w:rsidSect="00FE3F47">
      <w:footerReference w:type="default" r:id="rId6"/>
      <w:pgSz w:w="16838" w:h="11906" w:orient="landscape"/>
      <w:pgMar w:top="1588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26" w:rsidRDefault="008B4726" w:rsidP="00FE3F47">
      <w:r>
        <w:separator/>
      </w:r>
    </w:p>
  </w:endnote>
  <w:endnote w:type="continuationSeparator" w:id="0">
    <w:p w:rsidR="008B4726" w:rsidRDefault="008B4726" w:rsidP="00FE3F47">
      <w:r>
        <w:continuationSeparator/>
      </w:r>
    </w:p>
  </w:endnote>
  <w:endnote w:id="1"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 w:rsidRPr="00AC3905">
        <w:rPr>
          <w:rStyle w:val="ab"/>
          <w:rFonts w:ascii="Times New Roman" w:eastAsia="楷体" w:hAnsi="Times New Roman" w:cs="Times New Roman"/>
          <w:sz w:val="36"/>
          <w:szCs w:val="36"/>
        </w:rPr>
        <w:endnoteRef/>
      </w:r>
      <w:r>
        <w:rPr>
          <w:rFonts w:ascii="Times New Roman" w:eastAsia="楷体" w:hAnsi="Times New Roman" w:cs="Times New Roman" w:hint="eastAsia"/>
          <w:sz w:val="24"/>
          <w:szCs w:val="24"/>
        </w:rPr>
        <w:t>综合点值计算基本过程</w:t>
      </w:r>
      <w:r>
        <w:rPr>
          <w:rFonts w:ascii="Times New Roman" w:eastAsia="楷体" w:hAnsi="Times New Roman" w:cs="Times New Roman" w:hint="eastAsia"/>
          <w:sz w:val="24"/>
          <w:szCs w:val="24"/>
        </w:rPr>
        <w:t>:</w:t>
      </w:r>
    </w:p>
    <w:p w:rsidR="00B60507" w:rsidRDefault="00B60507" w:rsidP="00FE3F47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、四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类业务</w:t>
      </w:r>
      <w:r w:rsidRPr="00531D6F">
        <w:rPr>
          <w:rFonts w:ascii="Times New Roman" w:eastAsia="楷体" w:hAnsi="Times New Roman" w:cs="Times New Roman"/>
          <w:sz w:val="24"/>
          <w:szCs w:val="24"/>
        </w:rPr>
        <w:t>基准点值分别为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10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</w:t>
      </w:r>
      <w:r>
        <w:rPr>
          <w:rFonts w:ascii="Times New Roman" w:eastAsia="楷体" w:hAnsi="Times New Roman" w:cs="Times New Roman" w:hint="eastAsia"/>
          <w:sz w:val="24"/>
          <w:szCs w:val="24"/>
        </w:rPr>
        <w:t>，无负面行为记录且业务量不为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，得基准点值；业务量为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0.6</w:t>
      </w:r>
      <w:r>
        <w:rPr>
          <w:rFonts w:ascii="Times New Roman" w:eastAsia="楷体" w:hAnsi="Times New Roman" w:cs="Times New Roman" w:hint="eastAsia"/>
          <w:sz w:val="24"/>
          <w:szCs w:val="24"/>
        </w:rPr>
        <w:t>；有负面行为记录时，按照下列第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步计算系数，并用系数乘以基准点值计算业务点值；</w:t>
      </w: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>
        <w:rPr>
          <w:rFonts w:ascii="Times New Roman" w:eastAsia="楷体" w:hAnsi="Times New Roman" w:cs="Times New Roman" w:hint="eastAsia"/>
          <w:sz w:val="24"/>
          <w:szCs w:val="24"/>
        </w:rPr>
        <w:t>X=</w:t>
      </w:r>
      <w:r>
        <w:rPr>
          <w:rFonts w:ascii="Times New Roman" w:eastAsia="楷体" w:hAnsi="Times New Roman" w:cs="Times New Roman" w:hint="eastAsia"/>
          <w:sz w:val="24"/>
          <w:szCs w:val="24"/>
        </w:rPr>
        <w:t>四类业务负面行为记录数量</w:t>
      </w:r>
      <w:r>
        <w:rPr>
          <w:rFonts w:ascii="Times New Roman" w:eastAsia="楷体" w:hAnsi="Times New Roman" w:cs="Times New Roman" w:hint="eastAsia"/>
          <w:sz w:val="24"/>
          <w:szCs w:val="24"/>
        </w:rPr>
        <w:t>/</w:t>
      </w:r>
      <w:r>
        <w:rPr>
          <w:rFonts w:ascii="Times New Roman" w:eastAsia="楷体" w:hAnsi="Times New Roman" w:cs="Times New Roman" w:hint="eastAsia"/>
          <w:sz w:val="24"/>
          <w:szCs w:val="24"/>
        </w:rPr>
        <w:t>业务量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Pr="00D2682E">
        <w:rPr>
          <w:rFonts w:ascii="Times New Roman" w:eastAsia="楷体" w:hAnsi="Times New Roman" w:cs="Times New Roman"/>
          <w:sz w:val="24"/>
          <w:szCs w:val="24"/>
        </w:rPr>
        <w:t>推荐挂牌类负面行为记录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挂牌后督导类负面行为记录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交易管理类负面行为记录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综合管理类负面行为记录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值排名区间小于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=0.60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5%-20%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=0.70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20%-40%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531D6F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40%-70%</w:t>
      </w:r>
      <w:r w:rsidRPr="00531D6F">
        <w:rPr>
          <w:rFonts w:ascii="Times New Roman" w:eastAsia="楷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=0.85</w:t>
      </w:r>
      <w:r w:rsidRPr="00531D6F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B60507" w:rsidRPr="00E75514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70%-100%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=0.90</w:t>
      </w:r>
    </w:p>
    <w:p w:rsidR="00B60507" w:rsidRPr="004F2317" w:rsidRDefault="00B60507" w:rsidP="00FE3F47">
      <w:pPr>
        <w:pStyle w:val="aa"/>
        <w:rPr>
          <w:rFonts w:ascii="Times New Roman" w:hAnsi="Times New Roman" w:cs="Times New Roman"/>
        </w:rPr>
      </w:pPr>
    </w:p>
    <w:p w:rsidR="00B60507" w:rsidRPr="004C3CED" w:rsidRDefault="00B60507" w:rsidP="00FE3F47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562526"/>
      <w:docPartObj>
        <w:docPartGallery w:val="Page Numbers (Bottom of Page)"/>
        <w:docPartUnique/>
      </w:docPartObj>
    </w:sdtPr>
    <w:sdtEndPr/>
    <w:sdtContent>
      <w:p w:rsidR="00B60507" w:rsidRDefault="00B605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08" w:rsidRPr="00466408">
          <w:rPr>
            <w:noProof/>
            <w:lang w:val="zh-CN"/>
          </w:rPr>
          <w:t>11</w:t>
        </w:r>
        <w:r>
          <w:fldChar w:fldCharType="end"/>
        </w:r>
      </w:p>
    </w:sdtContent>
  </w:sdt>
  <w:p w:rsidR="00B60507" w:rsidRDefault="00B60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26" w:rsidRDefault="008B4726" w:rsidP="00FE3F47">
      <w:r>
        <w:separator/>
      </w:r>
    </w:p>
  </w:footnote>
  <w:footnote w:type="continuationSeparator" w:id="0">
    <w:p w:rsidR="008B4726" w:rsidRDefault="008B4726" w:rsidP="00FE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7"/>
    <w:rsid w:val="00055DF7"/>
    <w:rsid w:val="0007709B"/>
    <w:rsid w:val="000A2B95"/>
    <w:rsid w:val="000E50A5"/>
    <w:rsid w:val="000F4313"/>
    <w:rsid w:val="001F641C"/>
    <w:rsid w:val="002827FB"/>
    <w:rsid w:val="002A1120"/>
    <w:rsid w:val="002D5763"/>
    <w:rsid w:val="00352AE3"/>
    <w:rsid w:val="003C08B3"/>
    <w:rsid w:val="003D210E"/>
    <w:rsid w:val="003E32D4"/>
    <w:rsid w:val="00466408"/>
    <w:rsid w:val="004708C4"/>
    <w:rsid w:val="004A0BD7"/>
    <w:rsid w:val="005026FA"/>
    <w:rsid w:val="00527A88"/>
    <w:rsid w:val="0054687E"/>
    <w:rsid w:val="00554CAA"/>
    <w:rsid w:val="005C30FF"/>
    <w:rsid w:val="0060402E"/>
    <w:rsid w:val="00607507"/>
    <w:rsid w:val="006128F0"/>
    <w:rsid w:val="00632240"/>
    <w:rsid w:val="0065681C"/>
    <w:rsid w:val="00657D2B"/>
    <w:rsid w:val="006A7940"/>
    <w:rsid w:val="00726FB0"/>
    <w:rsid w:val="00736214"/>
    <w:rsid w:val="00743872"/>
    <w:rsid w:val="007455FE"/>
    <w:rsid w:val="00760618"/>
    <w:rsid w:val="0079028E"/>
    <w:rsid w:val="00831AAB"/>
    <w:rsid w:val="00850C66"/>
    <w:rsid w:val="0087078A"/>
    <w:rsid w:val="00874DB7"/>
    <w:rsid w:val="008B4726"/>
    <w:rsid w:val="008B7C95"/>
    <w:rsid w:val="00910F7E"/>
    <w:rsid w:val="0092194B"/>
    <w:rsid w:val="009F714F"/>
    <w:rsid w:val="00A706B3"/>
    <w:rsid w:val="00A77669"/>
    <w:rsid w:val="00AC624E"/>
    <w:rsid w:val="00B3318F"/>
    <w:rsid w:val="00B37607"/>
    <w:rsid w:val="00B60507"/>
    <w:rsid w:val="00B81BCC"/>
    <w:rsid w:val="00B91982"/>
    <w:rsid w:val="00B94021"/>
    <w:rsid w:val="00C26464"/>
    <w:rsid w:val="00C3180E"/>
    <w:rsid w:val="00CB5BB4"/>
    <w:rsid w:val="00CF6151"/>
    <w:rsid w:val="00D72C5D"/>
    <w:rsid w:val="00DF1AD0"/>
    <w:rsid w:val="00E11DB3"/>
    <w:rsid w:val="00F30C05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6FA9-D2EE-4253-A8F0-A7B739B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E3F4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E3F47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E3F4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F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3F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3F4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E3F4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3F47"/>
    <w:rPr>
      <w:sz w:val="18"/>
      <w:szCs w:val="18"/>
    </w:rPr>
  </w:style>
  <w:style w:type="character" w:styleId="a9">
    <w:name w:val="Hyperlink"/>
    <w:basedOn w:val="a0"/>
    <w:uiPriority w:val="99"/>
    <w:unhideWhenUsed/>
    <w:rsid w:val="00FE3F47"/>
    <w:rPr>
      <w:color w:val="0563C1" w:themeColor="hyperlink"/>
      <w:u w:val="single"/>
    </w:rPr>
  </w:style>
  <w:style w:type="paragraph" w:styleId="aa">
    <w:name w:val="endnote text"/>
    <w:basedOn w:val="a"/>
    <w:link w:val="Char3"/>
    <w:uiPriority w:val="99"/>
    <w:semiHidden/>
    <w:unhideWhenUsed/>
    <w:rsid w:val="00FE3F47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FE3F47"/>
  </w:style>
  <w:style w:type="character" w:styleId="ab">
    <w:name w:val="endnote reference"/>
    <w:basedOn w:val="a0"/>
    <w:uiPriority w:val="99"/>
    <w:semiHidden/>
    <w:unhideWhenUsed/>
    <w:rsid w:val="00FE3F47"/>
    <w:rPr>
      <w:vertAlign w:val="superscript"/>
    </w:rPr>
  </w:style>
  <w:style w:type="paragraph" w:styleId="ac">
    <w:name w:val="Date"/>
    <w:basedOn w:val="a"/>
    <w:next w:val="a"/>
    <w:link w:val="Char4"/>
    <w:uiPriority w:val="99"/>
    <w:semiHidden/>
    <w:unhideWhenUsed/>
    <w:rsid w:val="00FE3F4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2272</Words>
  <Characters>12951</Characters>
  <Application>Microsoft Office Word</Application>
  <DocSecurity>0</DocSecurity>
  <Lines>107</Lines>
  <Paragraphs>30</Paragraphs>
  <ScaleCrop>false</ScaleCrop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文印室wys</dc:creator>
  <cp:keywords/>
  <dc:description/>
  <cp:lastModifiedBy>文印室wys</cp:lastModifiedBy>
  <cp:revision>4</cp:revision>
  <cp:lastPrinted>2016-07-06T06:19:00Z</cp:lastPrinted>
  <dcterms:created xsi:type="dcterms:W3CDTF">2016-11-09T07:15:00Z</dcterms:created>
  <dcterms:modified xsi:type="dcterms:W3CDTF">2016-11-10T06:27:00Z</dcterms:modified>
</cp:coreProperties>
</file>