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AF" w:rsidRDefault="005669AF" w:rsidP="005669AF">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p>
    <w:p w:rsidR="00402DD9" w:rsidRDefault="00402DD9" w:rsidP="005669AF">
      <w:pPr>
        <w:jc w:val="center"/>
        <w:rPr>
          <w:rFonts w:ascii="仿宋" w:eastAsia="仿宋" w:hAnsi="仿宋"/>
          <w:sz w:val="36"/>
          <w:szCs w:val="36"/>
        </w:rPr>
      </w:pPr>
      <w:r w:rsidRPr="00D240CD">
        <w:rPr>
          <w:rFonts w:ascii="仿宋" w:eastAsia="仿宋" w:hAnsi="仿宋"/>
          <w:b/>
          <w:sz w:val="36"/>
          <w:szCs w:val="36"/>
        </w:rPr>
        <w:t>201</w:t>
      </w:r>
      <w:r w:rsidR="006F155A">
        <w:rPr>
          <w:rFonts w:ascii="仿宋" w:eastAsia="仿宋" w:hAnsi="仿宋" w:hint="eastAsia"/>
          <w:b/>
          <w:sz w:val="36"/>
          <w:szCs w:val="36"/>
        </w:rPr>
        <w:t>9</w:t>
      </w:r>
      <w:r w:rsidRPr="00D240CD">
        <w:rPr>
          <w:rFonts w:ascii="仿宋" w:eastAsia="仿宋" w:hAnsi="仿宋"/>
          <w:b/>
          <w:vanish/>
          <w:sz w:val="36"/>
          <w:szCs w:val="36"/>
        </w:rPr>
        <w:t>1、201</w:t>
      </w:r>
      <w:r w:rsidR="00FC04E4">
        <w:rPr>
          <w:rFonts w:ascii="仿宋" w:eastAsia="仿宋" w:hAnsi="仿宋"/>
          <w:b/>
          <w:vanish/>
          <w:sz w:val="36"/>
          <w:szCs w:val="36"/>
        </w:rPr>
        <w:t>5</w:t>
      </w:r>
      <w:r w:rsidRPr="00D240CD">
        <w:rPr>
          <w:rFonts w:ascii="仿宋" w:eastAsia="仿宋" w:hAnsi="仿宋"/>
          <w:b/>
          <w:sz w:val="36"/>
          <w:szCs w:val="36"/>
        </w:rPr>
        <w:t>年</w:t>
      </w:r>
      <w:r w:rsidR="00CC0A33">
        <w:rPr>
          <w:rFonts w:ascii="仿宋" w:eastAsia="仿宋" w:hAnsi="仿宋" w:hint="eastAsia"/>
          <w:b/>
          <w:sz w:val="36"/>
          <w:szCs w:val="36"/>
        </w:rPr>
        <w:t>8</w:t>
      </w:r>
      <w:r w:rsidRPr="00D240CD">
        <w:rPr>
          <w:rFonts w:ascii="仿宋" w:eastAsia="仿宋" w:hAnsi="仿宋"/>
          <w:b/>
          <w:sz w:val="36"/>
          <w:szCs w:val="36"/>
        </w:rPr>
        <w:t>月挂牌公司股票发行</w:t>
      </w:r>
      <w:r w:rsidRPr="00D240CD">
        <w:rPr>
          <w:rFonts w:ascii="仿宋" w:eastAsia="仿宋" w:hAnsi="仿宋" w:hint="eastAsia"/>
          <w:b/>
          <w:sz w:val="36"/>
          <w:szCs w:val="36"/>
        </w:rPr>
        <w:t>相关情况</w:t>
      </w:r>
    </w:p>
    <w:p w:rsidR="000F3961" w:rsidRDefault="00402DD9" w:rsidP="00D76A94">
      <w:pPr>
        <w:jc w:val="center"/>
        <w:rPr>
          <w:rFonts w:ascii="仿宋" w:eastAsia="仿宋" w:hAnsi="仿宋"/>
          <w:b/>
          <w:sz w:val="32"/>
          <w:szCs w:val="32"/>
        </w:rPr>
      </w:pPr>
      <w:r w:rsidRPr="00D240CD">
        <w:rPr>
          <w:rFonts w:ascii="仿宋" w:eastAsia="仿宋" w:hAnsi="仿宋" w:hint="eastAsia"/>
          <w:b/>
          <w:sz w:val="32"/>
          <w:szCs w:val="32"/>
        </w:rPr>
        <w:t>（</w:t>
      </w:r>
      <w:proofErr w:type="gramStart"/>
      <w:r w:rsidRPr="00D240CD">
        <w:rPr>
          <w:rFonts w:ascii="仿宋" w:eastAsia="仿宋" w:hAnsi="仿宋" w:hint="eastAsia"/>
          <w:b/>
          <w:sz w:val="32"/>
          <w:szCs w:val="32"/>
        </w:rPr>
        <w:t>按</w:t>
      </w:r>
      <w:r w:rsidRPr="00D240CD">
        <w:rPr>
          <w:rFonts w:ascii="仿宋" w:eastAsia="仿宋" w:hAnsi="仿宋"/>
          <w:b/>
          <w:sz w:val="32"/>
          <w:szCs w:val="32"/>
        </w:rPr>
        <w:t>主办</w:t>
      </w:r>
      <w:proofErr w:type="gramEnd"/>
      <w:r w:rsidRPr="00D240CD">
        <w:rPr>
          <w:rFonts w:ascii="仿宋" w:eastAsia="仿宋" w:hAnsi="仿宋"/>
          <w:b/>
          <w:sz w:val="32"/>
          <w:szCs w:val="32"/>
        </w:rPr>
        <w:t>券商</w:t>
      </w:r>
      <w:r>
        <w:rPr>
          <w:rFonts w:ascii="仿宋" w:eastAsia="仿宋" w:hAnsi="仿宋" w:hint="eastAsia"/>
          <w:b/>
          <w:sz w:val="32"/>
          <w:szCs w:val="32"/>
        </w:rPr>
        <w:t>统计</w:t>
      </w:r>
      <w:r w:rsidRPr="00D240CD">
        <w:rPr>
          <w:rFonts w:ascii="仿宋" w:eastAsia="仿宋" w:hAnsi="仿宋"/>
          <w:b/>
          <w:sz w:val="32"/>
          <w:szCs w:val="32"/>
        </w:rPr>
        <w:t>）</w:t>
      </w:r>
    </w:p>
    <w:tbl>
      <w:tblPr>
        <w:tblW w:w="8613" w:type="dxa"/>
        <w:tblLook w:val="04A0" w:firstRow="1" w:lastRow="0" w:firstColumn="1" w:lastColumn="0" w:noHBand="0" w:noVBand="1"/>
      </w:tblPr>
      <w:tblGrid>
        <w:gridCol w:w="2093"/>
        <w:gridCol w:w="1559"/>
        <w:gridCol w:w="2835"/>
        <w:gridCol w:w="2126"/>
      </w:tblGrid>
      <w:tr w:rsidR="00C649AD" w:rsidRPr="00D7053C" w:rsidTr="00D7053C">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49AD" w:rsidRPr="00D7053C" w:rsidRDefault="00C649AD" w:rsidP="00D7053C">
            <w:pPr>
              <w:widowControl/>
              <w:jc w:val="center"/>
              <w:rPr>
                <w:rFonts w:ascii="仿宋" w:eastAsia="仿宋" w:hAnsi="仿宋" w:cs="宋体"/>
                <w:b/>
                <w:color w:val="000000"/>
                <w:kern w:val="0"/>
                <w:sz w:val="30"/>
                <w:szCs w:val="30"/>
              </w:rPr>
            </w:pPr>
            <w:r w:rsidRPr="00D7053C">
              <w:rPr>
                <w:rFonts w:ascii="仿宋" w:eastAsia="仿宋" w:hAnsi="仿宋" w:cs="宋体" w:hint="eastAsia"/>
                <w:b/>
                <w:color w:val="000000"/>
                <w:kern w:val="0"/>
                <w:sz w:val="30"/>
                <w:szCs w:val="30"/>
              </w:rPr>
              <w:t>主办券商</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649AD" w:rsidRPr="00D7053C" w:rsidRDefault="00C649AD" w:rsidP="00D7053C">
            <w:pPr>
              <w:widowControl/>
              <w:jc w:val="center"/>
              <w:rPr>
                <w:rFonts w:ascii="仿宋" w:eastAsia="仿宋" w:hAnsi="仿宋" w:cs="宋体"/>
                <w:b/>
                <w:color w:val="000000"/>
                <w:kern w:val="0"/>
                <w:sz w:val="30"/>
                <w:szCs w:val="30"/>
              </w:rPr>
            </w:pPr>
            <w:r w:rsidRPr="00D7053C">
              <w:rPr>
                <w:rFonts w:ascii="仿宋" w:eastAsia="仿宋" w:hAnsi="仿宋" w:cs="宋体" w:hint="eastAsia"/>
                <w:b/>
                <w:color w:val="000000"/>
                <w:kern w:val="0"/>
                <w:sz w:val="30"/>
                <w:szCs w:val="30"/>
              </w:rPr>
              <w:t>发行次数</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0A1A70" w:rsidRDefault="00C649AD" w:rsidP="008D5026">
            <w:pPr>
              <w:widowControl/>
              <w:jc w:val="center"/>
              <w:rPr>
                <w:rFonts w:ascii="仿宋" w:eastAsia="仿宋" w:hAnsi="仿宋" w:cs="宋体"/>
                <w:b/>
                <w:color w:val="000000"/>
                <w:kern w:val="0"/>
                <w:sz w:val="30"/>
                <w:szCs w:val="30"/>
              </w:rPr>
            </w:pPr>
            <w:r w:rsidRPr="00D7053C">
              <w:rPr>
                <w:rFonts w:ascii="仿宋" w:eastAsia="仿宋" w:hAnsi="仿宋" w:cs="宋体" w:hint="eastAsia"/>
                <w:b/>
                <w:color w:val="000000"/>
                <w:kern w:val="0"/>
                <w:sz w:val="30"/>
                <w:szCs w:val="30"/>
              </w:rPr>
              <w:t>发行金额</w:t>
            </w:r>
          </w:p>
          <w:p w:rsidR="00C649AD" w:rsidRPr="00D7053C" w:rsidRDefault="00C649AD" w:rsidP="008D5026">
            <w:pPr>
              <w:widowControl/>
              <w:jc w:val="center"/>
              <w:rPr>
                <w:rFonts w:ascii="仿宋" w:eastAsia="仿宋" w:hAnsi="仿宋" w:cs="宋体"/>
                <w:b/>
                <w:color w:val="000000"/>
                <w:kern w:val="0"/>
                <w:sz w:val="30"/>
                <w:szCs w:val="30"/>
              </w:rPr>
            </w:pPr>
            <w:r w:rsidRPr="00D7053C">
              <w:rPr>
                <w:rFonts w:ascii="仿宋" w:eastAsia="仿宋" w:hAnsi="仿宋" w:cs="宋体" w:hint="eastAsia"/>
                <w:b/>
                <w:color w:val="000000"/>
                <w:kern w:val="0"/>
                <w:sz w:val="30"/>
                <w:szCs w:val="30"/>
              </w:rPr>
              <w:t>（万元）</w:t>
            </w:r>
          </w:p>
        </w:tc>
        <w:tc>
          <w:tcPr>
            <w:tcW w:w="2126" w:type="dxa"/>
            <w:tcBorders>
              <w:top w:val="single" w:sz="8" w:space="0" w:color="auto"/>
              <w:left w:val="nil"/>
              <w:bottom w:val="single" w:sz="8" w:space="0" w:color="auto"/>
              <w:right w:val="single" w:sz="8" w:space="0" w:color="auto"/>
            </w:tcBorders>
            <w:vAlign w:val="center"/>
          </w:tcPr>
          <w:p w:rsidR="00C649AD" w:rsidRPr="00D7053C" w:rsidRDefault="00C649AD" w:rsidP="00D7053C">
            <w:pPr>
              <w:widowControl/>
              <w:jc w:val="center"/>
              <w:rPr>
                <w:rFonts w:ascii="仿宋" w:eastAsia="仿宋" w:hAnsi="仿宋" w:cs="宋体"/>
                <w:b/>
                <w:color w:val="000000"/>
                <w:kern w:val="0"/>
                <w:sz w:val="30"/>
                <w:szCs w:val="30"/>
              </w:rPr>
            </w:pPr>
            <w:r w:rsidRPr="00D7053C">
              <w:rPr>
                <w:rFonts w:ascii="仿宋" w:eastAsia="仿宋" w:hAnsi="仿宋" w:cs="宋体" w:hint="eastAsia"/>
                <w:b/>
                <w:color w:val="000000"/>
                <w:kern w:val="0"/>
                <w:sz w:val="30"/>
                <w:szCs w:val="30"/>
              </w:rPr>
              <w:t>发行次数占比</w:t>
            </w:r>
            <w:r w:rsidRPr="00D7053C">
              <w:rPr>
                <w:rStyle w:val="a8"/>
                <w:rFonts w:ascii="仿宋" w:eastAsia="仿宋" w:hAnsi="仿宋" w:cs="宋体"/>
                <w:b/>
                <w:color w:val="000000"/>
                <w:kern w:val="0"/>
                <w:sz w:val="30"/>
                <w:szCs w:val="30"/>
              </w:rPr>
              <w:footnoteReference w:id="1"/>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widowControl/>
              <w:jc w:val="center"/>
              <w:rPr>
                <w:rFonts w:ascii="仿宋" w:eastAsia="仿宋" w:hAnsi="仿宋"/>
                <w:color w:val="000000"/>
                <w:sz w:val="30"/>
                <w:szCs w:val="30"/>
              </w:rPr>
            </w:pPr>
            <w:r>
              <w:rPr>
                <w:rFonts w:ascii="仿宋" w:eastAsia="仿宋" w:hAnsi="仿宋" w:hint="eastAsia"/>
                <w:color w:val="000000"/>
                <w:sz w:val="30"/>
                <w:szCs w:val="30"/>
              </w:rPr>
              <w:t>安信证券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7,420.00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proofErr w:type="gramStart"/>
            <w:r>
              <w:rPr>
                <w:rFonts w:ascii="仿宋" w:eastAsia="仿宋" w:hAnsi="仿宋" w:hint="eastAsia"/>
                <w:color w:val="000000"/>
                <w:sz w:val="30"/>
                <w:szCs w:val="30"/>
              </w:rPr>
              <w:t>财达证券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1,047.33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1.1%</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财通证券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859.14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德</w:t>
            </w:r>
            <w:proofErr w:type="gramStart"/>
            <w:r>
              <w:rPr>
                <w:rFonts w:ascii="仿宋" w:eastAsia="仿宋" w:hAnsi="仿宋" w:hint="eastAsia"/>
                <w:color w:val="000000"/>
                <w:sz w:val="30"/>
                <w:szCs w:val="30"/>
              </w:rPr>
              <w:t>邦</w:t>
            </w:r>
            <w:proofErr w:type="gramEnd"/>
            <w:r>
              <w:rPr>
                <w:rFonts w:ascii="仿宋" w:eastAsia="仿宋" w:hAnsi="仿宋" w:hint="eastAsia"/>
                <w:color w:val="000000"/>
                <w:sz w:val="30"/>
                <w:szCs w:val="30"/>
              </w:rPr>
              <w:t>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2,625.00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3.2%</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东北证券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1,892.28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0.4%</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东吴证券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0.3%</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广州证券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1,900.00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1.9%</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国盛证券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1,346.20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1.7%</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国泰君安</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0.6%</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海通证券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1,059.51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华创证券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102.19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华</w:t>
            </w:r>
            <w:proofErr w:type="gramStart"/>
            <w:r>
              <w:rPr>
                <w:rFonts w:ascii="仿宋" w:eastAsia="仿宋" w:hAnsi="仿宋" w:hint="eastAsia"/>
                <w:color w:val="000000"/>
                <w:sz w:val="30"/>
                <w:szCs w:val="30"/>
              </w:rPr>
              <w:t>福证券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2,478.40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5.3%</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proofErr w:type="gramStart"/>
            <w:r>
              <w:rPr>
                <w:rFonts w:ascii="仿宋" w:eastAsia="仿宋" w:hAnsi="仿宋" w:hint="eastAsia"/>
                <w:color w:val="000000"/>
                <w:sz w:val="30"/>
                <w:szCs w:val="30"/>
              </w:rPr>
              <w:t>华融证券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2,183.00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1.7%</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华</w:t>
            </w:r>
            <w:proofErr w:type="gramStart"/>
            <w:r>
              <w:rPr>
                <w:rFonts w:ascii="仿宋" w:eastAsia="仿宋" w:hAnsi="仿宋" w:hint="eastAsia"/>
                <w:color w:val="000000"/>
                <w:sz w:val="30"/>
                <w:szCs w:val="30"/>
              </w:rPr>
              <w:t>英证券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2,000.01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0.8%</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开源证券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3,970.40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0.8%</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lastRenderedPageBreak/>
              <w:t>联</w:t>
            </w:r>
            <w:proofErr w:type="gramStart"/>
            <w:r>
              <w:rPr>
                <w:rFonts w:ascii="仿宋" w:eastAsia="仿宋" w:hAnsi="仿宋" w:hint="eastAsia"/>
                <w:color w:val="000000"/>
                <w:sz w:val="30"/>
                <w:szCs w:val="30"/>
              </w:rPr>
              <w:t>讯证券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4,320.00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2.0%</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民族证券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1,500.00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proofErr w:type="gramStart"/>
            <w:r>
              <w:rPr>
                <w:rFonts w:ascii="仿宋" w:eastAsia="仿宋" w:hAnsi="仿宋" w:hint="eastAsia"/>
                <w:color w:val="000000"/>
                <w:sz w:val="30"/>
                <w:szCs w:val="30"/>
              </w:rPr>
              <w:t>申万宏</w:t>
            </w:r>
            <w:proofErr w:type="gramEnd"/>
            <w:r>
              <w:rPr>
                <w:rFonts w:ascii="仿宋" w:eastAsia="仿宋" w:hAnsi="仿宋" w:hint="eastAsia"/>
                <w:color w:val="000000"/>
                <w:sz w:val="30"/>
                <w:szCs w:val="30"/>
              </w:rPr>
              <w:t>源</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5,214.00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首创证券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10,000.00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0.7%</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天风证券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2,773.20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1.1%</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五</w:t>
            </w:r>
            <w:proofErr w:type="gramStart"/>
            <w:r>
              <w:rPr>
                <w:rFonts w:ascii="仿宋" w:eastAsia="仿宋" w:hAnsi="仿宋" w:hint="eastAsia"/>
                <w:color w:val="000000"/>
                <w:sz w:val="30"/>
                <w:szCs w:val="30"/>
              </w:rPr>
              <w:t>矿证券</w:t>
            </w:r>
            <w:proofErr w:type="gramEnd"/>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3,382.00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1.8%</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长城证券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1,900.00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1.3%</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长江证券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1,045.85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0.6%</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招商证券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500.00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0.4%</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中泰证券</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700.00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E714E2" w:rsidTr="003D74F0">
        <w:trPr>
          <w:trHeight w:val="405"/>
        </w:trPr>
        <w:tc>
          <w:tcPr>
            <w:tcW w:w="2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总计</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35</w:t>
            </w:r>
          </w:p>
        </w:tc>
        <w:tc>
          <w:tcPr>
            <w:tcW w:w="2835"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62,218.51 </w:t>
            </w:r>
          </w:p>
        </w:tc>
        <w:tc>
          <w:tcPr>
            <w:tcW w:w="2126"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rPr>
                <w:rFonts w:ascii="仿宋" w:eastAsia="仿宋" w:hAnsi="仿宋" w:hint="eastAsia"/>
                <w:color w:val="000000"/>
                <w:sz w:val="30"/>
                <w:szCs w:val="30"/>
              </w:rPr>
            </w:pPr>
            <w:r>
              <w:rPr>
                <w:rFonts w:ascii="仿宋" w:eastAsia="仿宋" w:hAnsi="仿宋" w:hint="eastAsia"/>
                <w:color w:val="000000"/>
                <w:sz w:val="30"/>
                <w:szCs w:val="30"/>
              </w:rPr>
              <w:t>-</w:t>
            </w:r>
          </w:p>
        </w:tc>
      </w:tr>
    </w:tbl>
    <w:p w:rsidR="006F1D91" w:rsidRPr="009D6F25" w:rsidRDefault="00AA52DB">
      <w:pPr>
        <w:widowControl/>
        <w:jc w:val="left"/>
        <w:rPr>
          <w:rFonts w:ascii="仿宋" w:eastAsia="仿宋" w:hAnsi="仿宋"/>
          <w:sz w:val="30"/>
          <w:szCs w:val="30"/>
        </w:rPr>
      </w:pPr>
      <w:r w:rsidRPr="007F6F6E">
        <w:rPr>
          <w:rFonts w:ascii="仿宋" w:eastAsia="仿宋" w:hAnsi="仿宋" w:hint="eastAsia"/>
          <w:sz w:val="30"/>
          <w:szCs w:val="30"/>
        </w:rPr>
        <w:t>注</w:t>
      </w:r>
      <w:r w:rsidRPr="007F6F6E">
        <w:rPr>
          <w:rFonts w:ascii="仿宋" w:eastAsia="仿宋" w:hAnsi="仿宋"/>
          <w:sz w:val="30"/>
          <w:szCs w:val="30"/>
        </w:rPr>
        <w:t>：</w:t>
      </w:r>
      <w:r w:rsidRPr="007F6F6E">
        <w:rPr>
          <w:rFonts w:ascii="仿宋" w:eastAsia="仿宋" w:hAnsi="仿宋" w:hint="eastAsia"/>
          <w:sz w:val="30"/>
          <w:szCs w:val="30"/>
        </w:rPr>
        <w:t>上述统计</w:t>
      </w:r>
      <w:r w:rsidR="00010EF7">
        <w:rPr>
          <w:rFonts w:ascii="仿宋" w:eastAsia="仿宋" w:hAnsi="仿宋" w:hint="eastAsia"/>
          <w:sz w:val="30"/>
          <w:szCs w:val="30"/>
        </w:rPr>
        <w:t>为</w:t>
      </w:r>
      <w:r w:rsidR="00CC0A33">
        <w:rPr>
          <w:rFonts w:ascii="仿宋" w:eastAsia="仿宋" w:hAnsi="仿宋" w:hint="eastAsia"/>
          <w:sz w:val="30"/>
          <w:szCs w:val="30"/>
        </w:rPr>
        <w:t>3</w:t>
      </w:r>
      <w:r w:rsidR="000859E4">
        <w:rPr>
          <w:rFonts w:ascii="仿宋" w:eastAsia="仿宋" w:hAnsi="仿宋" w:hint="eastAsia"/>
          <w:sz w:val="30"/>
          <w:szCs w:val="30"/>
        </w:rPr>
        <w:t>5</w:t>
      </w:r>
      <w:r w:rsidR="002C0092" w:rsidRPr="007F6F6E">
        <w:rPr>
          <w:rFonts w:ascii="仿宋" w:eastAsia="仿宋" w:hAnsi="仿宋" w:hint="eastAsia"/>
          <w:sz w:val="30"/>
          <w:szCs w:val="30"/>
        </w:rPr>
        <w:t>次已挂牌公司股票发行</w:t>
      </w:r>
      <w:r w:rsidR="00010EF7">
        <w:rPr>
          <w:rFonts w:ascii="仿宋" w:eastAsia="仿宋" w:hAnsi="仿宋" w:hint="eastAsia"/>
          <w:sz w:val="30"/>
          <w:szCs w:val="30"/>
        </w:rPr>
        <w:t>，</w:t>
      </w:r>
      <w:r w:rsidRPr="007F6F6E">
        <w:rPr>
          <w:rFonts w:ascii="仿宋" w:eastAsia="仿宋" w:hAnsi="仿宋" w:hint="eastAsia"/>
          <w:sz w:val="30"/>
          <w:szCs w:val="30"/>
        </w:rPr>
        <w:t>以上数据仅供参考。</w:t>
      </w:r>
    </w:p>
    <w:p w:rsidR="003E53BE" w:rsidRDefault="003E53BE" w:rsidP="00F723DE">
      <w:pPr>
        <w:jc w:val="center"/>
        <w:rPr>
          <w:rFonts w:ascii="仿宋" w:eastAsia="仿宋" w:hAnsi="仿宋"/>
          <w:b/>
          <w:sz w:val="36"/>
          <w:szCs w:val="36"/>
        </w:rPr>
      </w:pPr>
    </w:p>
    <w:p w:rsidR="003E53BE" w:rsidRDefault="003E53BE" w:rsidP="00F723DE">
      <w:pPr>
        <w:jc w:val="center"/>
        <w:rPr>
          <w:rFonts w:ascii="仿宋" w:eastAsia="仿宋" w:hAnsi="仿宋"/>
          <w:b/>
          <w:sz w:val="36"/>
          <w:szCs w:val="36"/>
        </w:rPr>
      </w:pPr>
    </w:p>
    <w:p w:rsidR="009D3F87" w:rsidRDefault="009D3F87" w:rsidP="009D3F87">
      <w:pPr>
        <w:rPr>
          <w:rFonts w:ascii="仿宋" w:eastAsia="仿宋" w:hAnsi="仿宋"/>
          <w:b/>
          <w:sz w:val="36"/>
          <w:szCs w:val="36"/>
        </w:rPr>
      </w:pPr>
    </w:p>
    <w:p w:rsidR="00CC0A33" w:rsidRDefault="009D3F87" w:rsidP="009D3F87">
      <w:pPr>
        <w:rPr>
          <w:rFonts w:ascii="仿宋" w:eastAsia="仿宋" w:hAnsi="仿宋"/>
          <w:b/>
          <w:sz w:val="36"/>
          <w:szCs w:val="36"/>
        </w:rPr>
      </w:pPr>
      <w:r>
        <w:rPr>
          <w:rFonts w:ascii="仿宋" w:eastAsia="仿宋" w:hAnsi="仿宋" w:hint="eastAsia"/>
          <w:b/>
          <w:sz w:val="36"/>
          <w:szCs w:val="36"/>
        </w:rPr>
        <w:t xml:space="preserve">     </w:t>
      </w:r>
    </w:p>
    <w:p w:rsidR="00CC0A33" w:rsidRDefault="00CC0A33" w:rsidP="009D3F87">
      <w:pPr>
        <w:rPr>
          <w:rFonts w:ascii="仿宋" w:eastAsia="仿宋" w:hAnsi="仿宋"/>
          <w:b/>
          <w:sz w:val="36"/>
          <w:szCs w:val="36"/>
        </w:rPr>
      </w:pPr>
    </w:p>
    <w:p w:rsidR="00CC0A33" w:rsidRDefault="00CC0A33" w:rsidP="009D3F87">
      <w:pPr>
        <w:rPr>
          <w:rFonts w:ascii="仿宋" w:eastAsia="仿宋" w:hAnsi="仿宋"/>
          <w:b/>
          <w:sz w:val="36"/>
          <w:szCs w:val="36"/>
        </w:rPr>
      </w:pPr>
    </w:p>
    <w:p w:rsidR="00CC0A33" w:rsidRDefault="00CC0A33" w:rsidP="009D3F87">
      <w:pPr>
        <w:rPr>
          <w:rFonts w:ascii="仿宋" w:eastAsia="仿宋" w:hAnsi="仿宋"/>
          <w:b/>
          <w:sz w:val="36"/>
          <w:szCs w:val="36"/>
        </w:rPr>
      </w:pPr>
    </w:p>
    <w:p w:rsidR="00CC0A33" w:rsidRDefault="00CC0A33" w:rsidP="009D3F87">
      <w:pPr>
        <w:rPr>
          <w:rFonts w:ascii="仿宋" w:eastAsia="仿宋" w:hAnsi="仿宋"/>
          <w:b/>
          <w:sz w:val="36"/>
          <w:szCs w:val="36"/>
        </w:rPr>
      </w:pPr>
    </w:p>
    <w:p w:rsidR="00CC0A33" w:rsidRDefault="00CC0A33" w:rsidP="009D3F87">
      <w:pPr>
        <w:rPr>
          <w:rFonts w:ascii="仿宋" w:eastAsia="仿宋" w:hAnsi="仿宋"/>
          <w:b/>
          <w:sz w:val="36"/>
          <w:szCs w:val="36"/>
        </w:rPr>
      </w:pPr>
    </w:p>
    <w:p w:rsidR="00402DD9" w:rsidRPr="00F723DE" w:rsidRDefault="00CC0A33" w:rsidP="009D3F87">
      <w:pPr>
        <w:rPr>
          <w:rFonts w:ascii="仿宋" w:eastAsia="仿宋" w:hAnsi="仿宋"/>
          <w:b/>
          <w:sz w:val="36"/>
          <w:szCs w:val="36"/>
        </w:rPr>
      </w:pPr>
      <w:r>
        <w:rPr>
          <w:rFonts w:ascii="仿宋" w:eastAsia="仿宋" w:hAnsi="仿宋" w:hint="eastAsia"/>
          <w:b/>
          <w:sz w:val="36"/>
          <w:szCs w:val="36"/>
        </w:rPr>
        <w:lastRenderedPageBreak/>
        <w:t xml:space="preserve">     </w:t>
      </w:r>
      <w:r w:rsidR="00402DD9" w:rsidRPr="002257AA">
        <w:rPr>
          <w:rFonts w:ascii="仿宋" w:eastAsia="仿宋" w:hAnsi="仿宋" w:hint="eastAsia"/>
          <w:b/>
          <w:sz w:val="36"/>
          <w:szCs w:val="36"/>
        </w:rPr>
        <w:t>201</w:t>
      </w:r>
      <w:r w:rsidR="006F155A">
        <w:rPr>
          <w:rFonts w:ascii="仿宋" w:eastAsia="仿宋" w:hAnsi="仿宋" w:hint="eastAsia"/>
          <w:b/>
          <w:sz w:val="36"/>
          <w:szCs w:val="36"/>
        </w:rPr>
        <w:t>9</w:t>
      </w:r>
      <w:r w:rsidR="00402DD9" w:rsidRPr="002257AA">
        <w:rPr>
          <w:rFonts w:ascii="仿宋" w:eastAsia="仿宋" w:hAnsi="仿宋"/>
          <w:b/>
          <w:vanish/>
          <w:sz w:val="36"/>
          <w:szCs w:val="36"/>
        </w:rPr>
        <w:t>1、201</w:t>
      </w:r>
      <w:r w:rsidR="00872AAC">
        <w:rPr>
          <w:rFonts w:ascii="仿宋" w:eastAsia="仿宋" w:hAnsi="仿宋"/>
          <w:b/>
          <w:vanish/>
          <w:sz w:val="36"/>
          <w:szCs w:val="36"/>
        </w:rPr>
        <w:t>5</w:t>
      </w:r>
      <w:r w:rsidR="00402DD9" w:rsidRPr="002257AA">
        <w:rPr>
          <w:rFonts w:ascii="仿宋" w:eastAsia="仿宋" w:hAnsi="仿宋"/>
          <w:b/>
          <w:sz w:val="36"/>
          <w:szCs w:val="36"/>
        </w:rPr>
        <w:t>年</w:t>
      </w:r>
      <w:r>
        <w:rPr>
          <w:rFonts w:ascii="仿宋" w:eastAsia="仿宋" w:hAnsi="仿宋" w:hint="eastAsia"/>
          <w:b/>
          <w:sz w:val="36"/>
          <w:szCs w:val="36"/>
        </w:rPr>
        <w:t>8</w:t>
      </w:r>
      <w:r w:rsidR="00402DD9" w:rsidRPr="002257AA">
        <w:rPr>
          <w:rFonts w:ascii="仿宋" w:eastAsia="仿宋" w:hAnsi="仿宋"/>
          <w:b/>
          <w:sz w:val="36"/>
          <w:szCs w:val="36"/>
        </w:rPr>
        <w:t>月挂牌公司股票发行</w:t>
      </w:r>
      <w:r w:rsidR="00402DD9" w:rsidRPr="002257AA">
        <w:rPr>
          <w:rFonts w:ascii="仿宋" w:eastAsia="仿宋" w:hAnsi="仿宋" w:hint="eastAsia"/>
          <w:b/>
          <w:sz w:val="36"/>
          <w:szCs w:val="36"/>
        </w:rPr>
        <w:t>相关情况</w:t>
      </w:r>
    </w:p>
    <w:p w:rsidR="005B3CF7" w:rsidRDefault="00402DD9" w:rsidP="00E80F12">
      <w:pPr>
        <w:jc w:val="center"/>
        <w:rPr>
          <w:rFonts w:ascii="仿宋" w:eastAsia="仿宋" w:hAnsi="仿宋"/>
          <w:b/>
          <w:sz w:val="32"/>
          <w:szCs w:val="32"/>
        </w:rPr>
      </w:pPr>
      <w:r w:rsidRPr="002257AA">
        <w:rPr>
          <w:rFonts w:ascii="仿宋" w:eastAsia="仿宋" w:hAnsi="仿宋" w:hint="eastAsia"/>
          <w:b/>
          <w:sz w:val="32"/>
          <w:szCs w:val="32"/>
        </w:rPr>
        <w:t>（按</w:t>
      </w:r>
      <w:r>
        <w:rPr>
          <w:rFonts w:ascii="仿宋" w:eastAsia="仿宋" w:hAnsi="仿宋" w:hint="eastAsia"/>
          <w:b/>
          <w:sz w:val="32"/>
          <w:szCs w:val="32"/>
        </w:rPr>
        <w:t>地区统计</w:t>
      </w:r>
      <w:r w:rsidRPr="002257AA">
        <w:rPr>
          <w:rFonts w:ascii="仿宋" w:eastAsia="仿宋" w:hAnsi="仿宋"/>
          <w:b/>
          <w:sz w:val="32"/>
          <w:szCs w:val="32"/>
        </w:rPr>
        <w:t>）</w:t>
      </w:r>
    </w:p>
    <w:tbl>
      <w:tblPr>
        <w:tblW w:w="9085" w:type="dxa"/>
        <w:jc w:val="center"/>
        <w:tblLook w:val="04A0" w:firstRow="1" w:lastRow="0" w:firstColumn="1" w:lastColumn="0" w:noHBand="0" w:noVBand="1"/>
      </w:tblPr>
      <w:tblGrid>
        <w:gridCol w:w="2967"/>
        <w:gridCol w:w="1441"/>
        <w:gridCol w:w="2554"/>
        <w:gridCol w:w="2123"/>
      </w:tblGrid>
      <w:tr w:rsidR="00FC2245" w:rsidRPr="009E026E" w:rsidTr="000A1A70">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245" w:rsidRPr="009E026E" w:rsidRDefault="00FC2245" w:rsidP="009E026E">
            <w:pPr>
              <w:widowControl/>
              <w:spacing w:line="480" w:lineRule="exact"/>
              <w:jc w:val="center"/>
              <w:rPr>
                <w:rFonts w:ascii="仿宋" w:eastAsia="仿宋" w:hAnsi="仿宋" w:cs="宋体"/>
                <w:b/>
                <w:color w:val="000000"/>
                <w:kern w:val="0"/>
                <w:sz w:val="30"/>
                <w:szCs w:val="30"/>
              </w:rPr>
            </w:pPr>
            <w:r w:rsidRPr="009E026E">
              <w:rPr>
                <w:rFonts w:ascii="仿宋" w:eastAsia="仿宋" w:hAnsi="仿宋" w:cs="宋体" w:hint="eastAsia"/>
                <w:b/>
                <w:color w:val="000000"/>
                <w:kern w:val="0"/>
                <w:sz w:val="30"/>
                <w:szCs w:val="30"/>
              </w:rPr>
              <w:t>省、自治区及直辖市</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rsidR="00FC2245" w:rsidRPr="009E026E" w:rsidRDefault="00FC2245" w:rsidP="009E026E">
            <w:pPr>
              <w:widowControl/>
              <w:jc w:val="center"/>
              <w:rPr>
                <w:rFonts w:ascii="仿宋" w:eastAsia="仿宋" w:hAnsi="仿宋" w:cs="宋体"/>
                <w:b/>
                <w:color w:val="000000"/>
                <w:kern w:val="0"/>
                <w:sz w:val="30"/>
                <w:szCs w:val="30"/>
              </w:rPr>
            </w:pPr>
            <w:r w:rsidRPr="009E026E">
              <w:rPr>
                <w:rFonts w:ascii="仿宋" w:eastAsia="仿宋" w:hAnsi="仿宋" w:cs="宋体" w:hint="eastAsia"/>
                <w:b/>
                <w:color w:val="000000"/>
                <w:kern w:val="0"/>
                <w:sz w:val="30"/>
                <w:szCs w:val="30"/>
              </w:rPr>
              <w:t>发行次数</w:t>
            </w:r>
          </w:p>
        </w:tc>
        <w:tc>
          <w:tcPr>
            <w:tcW w:w="2554" w:type="dxa"/>
            <w:tcBorders>
              <w:top w:val="single" w:sz="8" w:space="0" w:color="auto"/>
              <w:left w:val="nil"/>
              <w:bottom w:val="single" w:sz="8" w:space="0" w:color="auto"/>
              <w:right w:val="single" w:sz="8" w:space="0" w:color="auto"/>
            </w:tcBorders>
            <w:shd w:val="clear" w:color="auto" w:fill="auto"/>
            <w:noWrap/>
            <w:vAlign w:val="center"/>
            <w:hideMark/>
          </w:tcPr>
          <w:p w:rsidR="00FB5C24" w:rsidRDefault="00FC2245" w:rsidP="002A3ED8">
            <w:pPr>
              <w:widowControl/>
              <w:jc w:val="center"/>
              <w:rPr>
                <w:rFonts w:ascii="仿宋" w:eastAsia="仿宋" w:hAnsi="仿宋" w:cs="宋体"/>
                <w:b/>
                <w:color w:val="000000"/>
                <w:kern w:val="0"/>
                <w:sz w:val="30"/>
                <w:szCs w:val="30"/>
              </w:rPr>
            </w:pPr>
            <w:r w:rsidRPr="009E026E">
              <w:rPr>
                <w:rFonts w:ascii="仿宋" w:eastAsia="仿宋" w:hAnsi="仿宋" w:cs="宋体" w:hint="eastAsia"/>
                <w:b/>
                <w:color w:val="000000"/>
                <w:kern w:val="0"/>
                <w:sz w:val="30"/>
                <w:szCs w:val="30"/>
              </w:rPr>
              <w:t>发行金额</w:t>
            </w:r>
          </w:p>
          <w:p w:rsidR="00FC2245" w:rsidRPr="009E026E" w:rsidRDefault="00FC2245" w:rsidP="002A3ED8">
            <w:pPr>
              <w:widowControl/>
              <w:jc w:val="center"/>
              <w:rPr>
                <w:rFonts w:ascii="仿宋" w:eastAsia="仿宋" w:hAnsi="仿宋" w:cs="宋体"/>
                <w:b/>
                <w:color w:val="000000"/>
                <w:kern w:val="0"/>
                <w:sz w:val="30"/>
                <w:szCs w:val="30"/>
              </w:rPr>
            </w:pPr>
            <w:r w:rsidRPr="009E026E">
              <w:rPr>
                <w:rFonts w:ascii="仿宋" w:eastAsia="仿宋" w:hAnsi="仿宋" w:cs="宋体" w:hint="eastAsia"/>
                <w:b/>
                <w:color w:val="000000"/>
                <w:kern w:val="0"/>
                <w:sz w:val="30"/>
                <w:szCs w:val="30"/>
              </w:rPr>
              <w:t>（万元）</w:t>
            </w:r>
          </w:p>
        </w:tc>
        <w:tc>
          <w:tcPr>
            <w:tcW w:w="2123" w:type="dxa"/>
            <w:tcBorders>
              <w:top w:val="single" w:sz="8" w:space="0" w:color="auto"/>
              <w:left w:val="nil"/>
              <w:bottom w:val="single" w:sz="8" w:space="0" w:color="auto"/>
              <w:right w:val="single" w:sz="8" w:space="0" w:color="auto"/>
            </w:tcBorders>
            <w:vAlign w:val="center"/>
          </w:tcPr>
          <w:p w:rsidR="00FC2245" w:rsidRPr="009E026E" w:rsidRDefault="00C649AD" w:rsidP="009E026E">
            <w:pPr>
              <w:widowControl/>
              <w:jc w:val="center"/>
              <w:rPr>
                <w:rFonts w:ascii="仿宋" w:eastAsia="仿宋" w:hAnsi="仿宋" w:cs="宋体"/>
                <w:b/>
                <w:color w:val="000000"/>
                <w:kern w:val="0"/>
                <w:sz w:val="30"/>
                <w:szCs w:val="30"/>
              </w:rPr>
            </w:pPr>
            <w:r w:rsidRPr="009E026E">
              <w:rPr>
                <w:rFonts w:ascii="仿宋" w:eastAsia="仿宋" w:hAnsi="仿宋" w:cs="宋体" w:hint="eastAsia"/>
                <w:b/>
                <w:color w:val="000000"/>
                <w:kern w:val="0"/>
                <w:sz w:val="30"/>
                <w:szCs w:val="30"/>
              </w:rPr>
              <w:t>发行次数占比</w:t>
            </w:r>
            <w:r w:rsidRPr="009E026E">
              <w:rPr>
                <w:rFonts w:ascii="仿宋" w:eastAsia="仿宋" w:hAnsi="仿宋"/>
                <w:b/>
                <w:sz w:val="30"/>
                <w:szCs w:val="30"/>
                <w:vertAlign w:val="superscript"/>
              </w:rPr>
              <w:footnoteReference w:id="2"/>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widowControl/>
              <w:jc w:val="center"/>
              <w:rPr>
                <w:rFonts w:ascii="仿宋" w:eastAsia="仿宋" w:hAnsi="仿宋"/>
                <w:color w:val="000000"/>
                <w:sz w:val="30"/>
                <w:szCs w:val="30"/>
              </w:rPr>
            </w:pPr>
            <w:r>
              <w:rPr>
                <w:rFonts w:ascii="仿宋" w:eastAsia="仿宋" w:hAnsi="仿宋" w:hint="eastAsia"/>
                <w:color w:val="000000"/>
                <w:sz w:val="30"/>
                <w:szCs w:val="30"/>
              </w:rPr>
              <w:t>安徽省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9,715.00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0.9%</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北京市</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7</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13,727.24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0.6%</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福建省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1,892.28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0.3%</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广东省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6</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8,030.33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0.4%</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贵州省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1,000.00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1.9%</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海南省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1</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1,500.00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3.2%</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湖北省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4,829.40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0.9%</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江苏省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6</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8,343.52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0.5%</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上海市</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5</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9,351.60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0.7%</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浙江省</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2</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3,829.14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0.2%</w:t>
            </w:r>
          </w:p>
        </w:tc>
      </w:tr>
      <w:tr w:rsidR="00CC0A33" w:rsidRPr="008D5518" w:rsidTr="003F4171">
        <w:trPr>
          <w:trHeight w:val="405"/>
          <w:jc w:val="center"/>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0A33" w:rsidRDefault="00CC0A33" w:rsidP="00CC0A33">
            <w:pPr>
              <w:jc w:val="center"/>
              <w:rPr>
                <w:rFonts w:ascii="仿宋" w:eastAsia="仿宋" w:hAnsi="仿宋" w:hint="eastAsia"/>
                <w:color w:val="000000"/>
                <w:sz w:val="30"/>
                <w:szCs w:val="30"/>
              </w:rPr>
            </w:pPr>
            <w:r>
              <w:rPr>
                <w:rFonts w:ascii="仿宋" w:eastAsia="仿宋" w:hAnsi="仿宋" w:hint="eastAsia"/>
                <w:color w:val="000000"/>
                <w:sz w:val="30"/>
                <w:szCs w:val="30"/>
              </w:rPr>
              <w:t>总计</w:t>
            </w:r>
          </w:p>
        </w:tc>
        <w:tc>
          <w:tcPr>
            <w:tcW w:w="1441"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right"/>
              <w:rPr>
                <w:rFonts w:ascii="仿宋" w:eastAsia="仿宋" w:hAnsi="仿宋" w:hint="eastAsia"/>
                <w:color w:val="000000"/>
                <w:sz w:val="30"/>
                <w:szCs w:val="30"/>
              </w:rPr>
            </w:pPr>
            <w:r>
              <w:rPr>
                <w:rFonts w:ascii="仿宋" w:eastAsia="仿宋" w:hAnsi="仿宋" w:hint="eastAsia"/>
                <w:color w:val="000000"/>
                <w:sz w:val="30"/>
                <w:szCs w:val="30"/>
              </w:rPr>
              <w:t>35</w:t>
            </w:r>
          </w:p>
        </w:tc>
        <w:tc>
          <w:tcPr>
            <w:tcW w:w="2554" w:type="dxa"/>
            <w:tcBorders>
              <w:top w:val="single" w:sz="8" w:space="0" w:color="auto"/>
              <w:left w:val="nil"/>
              <w:bottom w:val="single" w:sz="8" w:space="0" w:color="auto"/>
              <w:right w:val="single" w:sz="8" w:space="0" w:color="auto"/>
            </w:tcBorders>
            <w:shd w:val="clear" w:color="auto" w:fill="auto"/>
            <w:noWrap/>
            <w:vAlign w:val="center"/>
          </w:tcPr>
          <w:p w:rsidR="00CC0A33" w:rsidRDefault="00CC0A33" w:rsidP="00CC0A33">
            <w:pPr>
              <w:jc w:val="left"/>
              <w:rPr>
                <w:rFonts w:ascii="仿宋" w:eastAsia="仿宋" w:hAnsi="仿宋" w:hint="eastAsia"/>
                <w:color w:val="000000"/>
                <w:sz w:val="30"/>
                <w:szCs w:val="30"/>
              </w:rPr>
            </w:pPr>
            <w:r>
              <w:rPr>
                <w:rFonts w:ascii="仿宋" w:eastAsia="仿宋" w:hAnsi="仿宋" w:hint="eastAsia"/>
                <w:color w:val="000000"/>
                <w:sz w:val="30"/>
                <w:szCs w:val="30"/>
              </w:rPr>
              <w:t xml:space="preserve">   62,218.51 </w:t>
            </w:r>
          </w:p>
        </w:tc>
        <w:tc>
          <w:tcPr>
            <w:tcW w:w="2123" w:type="dxa"/>
            <w:tcBorders>
              <w:top w:val="single" w:sz="8" w:space="0" w:color="auto"/>
              <w:left w:val="nil"/>
              <w:bottom w:val="single" w:sz="8" w:space="0" w:color="auto"/>
              <w:right w:val="single" w:sz="8" w:space="0" w:color="auto"/>
            </w:tcBorders>
            <w:shd w:val="clear" w:color="auto" w:fill="auto"/>
            <w:vAlign w:val="center"/>
          </w:tcPr>
          <w:p w:rsidR="00CC0A33" w:rsidRDefault="00CC0A33" w:rsidP="00CC0A33">
            <w:pPr>
              <w:rPr>
                <w:rFonts w:ascii="仿宋" w:eastAsia="仿宋" w:hAnsi="仿宋" w:hint="eastAsia"/>
                <w:color w:val="000000"/>
                <w:sz w:val="30"/>
                <w:szCs w:val="30"/>
              </w:rPr>
            </w:pPr>
            <w:r>
              <w:rPr>
                <w:rFonts w:ascii="仿宋" w:eastAsia="仿宋" w:hAnsi="仿宋" w:hint="eastAsia"/>
                <w:color w:val="000000"/>
                <w:sz w:val="30"/>
                <w:szCs w:val="30"/>
              </w:rPr>
              <w:t>-</w:t>
            </w:r>
          </w:p>
        </w:tc>
      </w:tr>
    </w:tbl>
    <w:p w:rsidR="00010EF7" w:rsidRDefault="00010EF7" w:rsidP="00010EF7">
      <w:pPr>
        <w:widowControl/>
        <w:jc w:val="left"/>
        <w:rPr>
          <w:rFonts w:ascii="仿宋" w:eastAsia="仿宋" w:hAnsi="仿宋"/>
          <w:sz w:val="30"/>
          <w:szCs w:val="30"/>
        </w:rPr>
      </w:pPr>
      <w:r w:rsidRPr="007F6F6E">
        <w:rPr>
          <w:rFonts w:ascii="仿宋" w:eastAsia="仿宋" w:hAnsi="仿宋" w:hint="eastAsia"/>
          <w:sz w:val="30"/>
          <w:szCs w:val="30"/>
        </w:rPr>
        <w:t>注</w:t>
      </w:r>
      <w:r w:rsidRPr="007F6F6E">
        <w:rPr>
          <w:rFonts w:ascii="仿宋" w:eastAsia="仿宋" w:hAnsi="仿宋"/>
          <w:sz w:val="30"/>
          <w:szCs w:val="30"/>
        </w:rPr>
        <w:t>：</w:t>
      </w:r>
      <w:r w:rsidRPr="007F6F6E">
        <w:rPr>
          <w:rFonts w:ascii="仿宋" w:eastAsia="仿宋" w:hAnsi="仿宋" w:hint="eastAsia"/>
          <w:sz w:val="30"/>
          <w:szCs w:val="30"/>
        </w:rPr>
        <w:t>上述统计</w:t>
      </w:r>
      <w:r>
        <w:rPr>
          <w:rFonts w:ascii="仿宋" w:eastAsia="仿宋" w:hAnsi="仿宋" w:hint="eastAsia"/>
          <w:sz w:val="30"/>
          <w:szCs w:val="30"/>
        </w:rPr>
        <w:t>为</w:t>
      </w:r>
      <w:r w:rsidR="002E4D01">
        <w:rPr>
          <w:rFonts w:ascii="仿宋" w:eastAsia="仿宋" w:hAnsi="仿宋" w:hint="eastAsia"/>
          <w:sz w:val="30"/>
          <w:szCs w:val="30"/>
        </w:rPr>
        <w:t>3</w:t>
      </w:r>
      <w:bookmarkStart w:id="0" w:name="_GoBack"/>
      <w:bookmarkEnd w:id="0"/>
      <w:r w:rsidR="000859E4">
        <w:rPr>
          <w:rFonts w:ascii="仿宋" w:eastAsia="仿宋" w:hAnsi="仿宋" w:hint="eastAsia"/>
          <w:sz w:val="30"/>
          <w:szCs w:val="30"/>
        </w:rPr>
        <w:t>5</w:t>
      </w:r>
      <w:r w:rsidRPr="007F6F6E">
        <w:rPr>
          <w:rFonts w:ascii="仿宋" w:eastAsia="仿宋" w:hAnsi="仿宋" w:hint="eastAsia"/>
          <w:sz w:val="30"/>
          <w:szCs w:val="30"/>
        </w:rPr>
        <w:t>次已挂牌公司股票发行</w:t>
      </w:r>
      <w:r>
        <w:rPr>
          <w:rFonts w:ascii="仿宋" w:eastAsia="仿宋" w:hAnsi="仿宋" w:hint="eastAsia"/>
          <w:sz w:val="30"/>
          <w:szCs w:val="30"/>
        </w:rPr>
        <w:t>，</w:t>
      </w:r>
      <w:r w:rsidRPr="007F6F6E">
        <w:rPr>
          <w:rFonts w:ascii="仿宋" w:eastAsia="仿宋" w:hAnsi="仿宋" w:hint="eastAsia"/>
          <w:sz w:val="30"/>
          <w:szCs w:val="30"/>
        </w:rPr>
        <w:t>以上数据仅供参考。</w:t>
      </w:r>
    </w:p>
    <w:p w:rsidR="005203F8" w:rsidRPr="00010EF7" w:rsidRDefault="005203F8" w:rsidP="00AA52DB">
      <w:pPr>
        <w:widowControl/>
        <w:jc w:val="left"/>
        <w:rPr>
          <w:rFonts w:ascii="仿宋" w:eastAsia="仿宋" w:hAnsi="仿宋"/>
          <w:sz w:val="30"/>
          <w:szCs w:val="30"/>
        </w:rPr>
      </w:pPr>
    </w:p>
    <w:sectPr w:rsidR="005203F8" w:rsidRPr="00010E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EF" w:rsidRDefault="00AE34EF" w:rsidP="00575254">
      <w:r>
        <w:separator/>
      </w:r>
    </w:p>
  </w:endnote>
  <w:endnote w:type="continuationSeparator" w:id="0">
    <w:p w:rsidR="00AE34EF" w:rsidRDefault="00AE34EF" w:rsidP="005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EF" w:rsidRDefault="00AE34EF" w:rsidP="00575254">
      <w:r>
        <w:separator/>
      </w:r>
    </w:p>
  </w:footnote>
  <w:footnote w:type="continuationSeparator" w:id="0">
    <w:p w:rsidR="00AE34EF" w:rsidRDefault="00AE34EF" w:rsidP="00575254">
      <w:r>
        <w:continuationSeparator/>
      </w:r>
    </w:p>
  </w:footnote>
  <w:footnote w:id="1">
    <w:p w:rsidR="00905E2B" w:rsidRPr="00C649AD" w:rsidRDefault="00905E2B" w:rsidP="00C649AD">
      <w:pPr>
        <w:widowControl/>
        <w:jc w:val="left"/>
        <w:rPr>
          <w:rFonts w:ascii="仿宋" w:eastAsia="仿宋" w:hAnsi="仿宋" w:cs="宋体"/>
          <w:color w:val="000000"/>
          <w:kern w:val="0"/>
          <w:szCs w:val="21"/>
        </w:rPr>
      </w:pPr>
      <w:r w:rsidRPr="00C649AD">
        <w:rPr>
          <w:rFonts w:ascii="仿宋" w:eastAsia="仿宋" w:hAnsi="仿宋" w:cs="宋体"/>
          <w:color w:val="000000"/>
          <w:kern w:val="0"/>
          <w:szCs w:val="21"/>
        </w:rPr>
        <w:footnoteRef/>
      </w:r>
      <w:r w:rsidRPr="00C649AD">
        <w:rPr>
          <w:rFonts w:ascii="仿宋" w:eastAsia="仿宋" w:hAnsi="仿宋" w:cs="宋体"/>
          <w:color w:val="000000"/>
          <w:kern w:val="0"/>
          <w:szCs w:val="21"/>
        </w:rPr>
        <w:t xml:space="preserve"> </w:t>
      </w:r>
      <w:r w:rsidRPr="00C649AD">
        <w:rPr>
          <w:rFonts w:ascii="仿宋" w:eastAsia="仿宋" w:hAnsi="仿宋" w:cs="宋体" w:hint="eastAsia"/>
          <w:color w:val="000000"/>
          <w:kern w:val="0"/>
          <w:szCs w:val="21"/>
        </w:rPr>
        <w:t>“发行次数占比”是</w:t>
      </w:r>
      <w:proofErr w:type="gramStart"/>
      <w:r w:rsidRPr="00C649AD">
        <w:rPr>
          <w:rFonts w:ascii="仿宋" w:eastAsia="仿宋" w:hAnsi="仿宋" w:cs="宋体" w:hint="eastAsia"/>
          <w:color w:val="000000"/>
          <w:kern w:val="0"/>
          <w:szCs w:val="21"/>
        </w:rPr>
        <w:t>指主办</w:t>
      </w:r>
      <w:proofErr w:type="gramEnd"/>
      <w:r w:rsidRPr="00C649AD">
        <w:rPr>
          <w:rFonts w:ascii="仿宋" w:eastAsia="仿宋" w:hAnsi="仿宋" w:cs="宋体" w:hint="eastAsia"/>
          <w:color w:val="000000"/>
          <w:kern w:val="0"/>
          <w:szCs w:val="21"/>
        </w:rPr>
        <w:t>券商本月持续督导的挂牌公司完成股票发行次数占其累计推荐挂牌公司家数的比例。</w:t>
      </w:r>
    </w:p>
  </w:footnote>
  <w:footnote w:id="2">
    <w:p w:rsidR="00905E2B" w:rsidRPr="00C649AD" w:rsidRDefault="00905E2B">
      <w:pPr>
        <w:pStyle w:val="a7"/>
        <w:rPr>
          <w:rFonts w:ascii="仿宋" w:eastAsia="仿宋" w:hAnsi="仿宋"/>
        </w:rPr>
      </w:pPr>
      <w:r w:rsidRPr="00C649AD">
        <w:rPr>
          <w:rStyle w:val="a8"/>
          <w:rFonts w:ascii="仿宋" w:eastAsia="仿宋" w:hAnsi="仿宋"/>
          <w:sz w:val="21"/>
        </w:rPr>
        <w:footnoteRef/>
      </w:r>
      <w:r w:rsidRPr="00C649AD">
        <w:rPr>
          <w:rFonts w:ascii="仿宋" w:eastAsia="仿宋" w:hAnsi="仿宋"/>
          <w:sz w:val="21"/>
        </w:rPr>
        <w:t xml:space="preserve">  </w:t>
      </w:r>
      <w:r w:rsidRPr="00C649AD">
        <w:rPr>
          <w:rFonts w:ascii="仿宋" w:eastAsia="仿宋" w:hAnsi="仿宋" w:hint="eastAsia"/>
          <w:sz w:val="21"/>
        </w:rPr>
        <w:t>“发行次数占比”是指该省、自治区及直辖市内挂牌公司完成股票发行次数占</w:t>
      </w:r>
      <w:r>
        <w:rPr>
          <w:rFonts w:ascii="仿宋" w:eastAsia="仿宋" w:hAnsi="仿宋" w:hint="eastAsia"/>
          <w:sz w:val="21"/>
        </w:rPr>
        <w:t>该</w:t>
      </w:r>
      <w:r w:rsidRPr="00C649AD">
        <w:rPr>
          <w:rFonts w:ascii="仿宋" w:eastAsia="仿宋" w:hAnsi="仿宋" w:hint="eastAsia"/>
          <w:sz w:val="21"/>
        </w:rPr>
        <w:t>省、自治区及直辖市范围内累计挂牌公司家数的比例。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4D94"/>
    <w:multiLevelType w:val="hybridMultilevel"/>
    <w:tmpl w:val="8FDEC384"/>
    <w:lvl w:ilvl="0" w:tplc="5C00C6BC">
      <w:start w:val="1"/>
      <w:numFmt w:val="decimal"/>
      <w:lvlText w:val="%1、"/>
      <w:lvlJc w:val="left"/>
      <w:pPr>
        <w:ind w:left="8235" w:hanging="7575"/>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3D"/>
    <w:rsid w:val="00010EF7"/>
    <w:rsid w:val="0004490E"/>
    <w:rsid w:val="00064F2E"/>
    <w:rsid w:val="00067DBB"/>
    <w:rsid w:val="0008415C"/>
    <w:rsid w:val="000859E4"/>
    <w:rsid w:val="0008628A"/>
    <w:rsid w:val="00095851"/>
    <w:rsid w:val="0009711A"/>
    <w:rsid w:val="000A1A70"/>
    <w:rsid w:val="000A2BEF"/>
    <w:rsid w:val="000A427E"/>
    <w:rsid w:val="000A6633"/>
    <w:rsid w:val="000B0256"/>
    <w:rsid w:val="000F3961"/>
    <w:rsid w:val="00113CDE"/>
    <w:rsid w:val="00116E8E"/>
    <w:rsid w:val="00116ED3"/>
    <w:rsid w:val="00130505"/>
    <w:rsid w:val="001309AC"/>
    <w:rsid w:val="00134685"/>
    <w:rsid w:val="00144070"/>
    <w:rsid w:val="00153C26"/>
    <w:rsid w:val="001562D6"/>
    <w:rsid w:val="001574FA"/>
    <w:rsid w:val="00171A39"/>
    <w:rsid w:val="001775F1"/>
    <w:rsid w:val="0018698C"/>
    <w:rsid w:val="00190736"/>
    <w:rsid w:val="001A5EA0"/>
    <w:rsid w:val="001B19C3"/>
    <w:rsid w:val="001F4601"/>
    <w:rsid w:val="002068B9"/>
    <w:rsid w:val="00212EF5"/>
    <w:rsid w:val="002155F2"/>
    <w:rsid w:val="00224655"/>
    <w:rsid w:val="00237E18"/>
    <w:rsid w:val="00242FA9"/>
    <w:rsid w:val="00244EC4"/>
    <w:rsid w:val="002477B0"/>
    <w:rsid w:val="0026101E"/>
    <w:rsid w:val="00270DAB"/>
    <w:rsid w:val="00277068"/>
    <w:rsid w:val="002859C3"/>
    <w:rsid w:val="00286CE6"/>
    <w:rsid w:val="00287246"/>
    <w:rsid w:val="0029313C"/>
    <w:rsid w:val="0029792C"/>
    <w:rsid w:val="00297963"/>
    <w:rsid w:val="00297B09"/>
    <w:rsid w:val="002A368E"/>
    <w:rsid w:val="002A3ED8"/>
    <w:rsid w:val="002B43F1"/>
    <w:rsid w:val="002C0092"/>
    <w:rsid w:val="002C0651"/>
    <w:rsid w:val="002D5037"/>
    <w:rsid w:val="002D699B"/>
    <w:rsid w:val="002E4D01"/>
    <w:rsid w:val="002F5FEB"/>
    <w:rsid w:val="003104A1"/>
    <w:rsid w:val="00310A9F"/>
    <w:rsid w:val="0032096D"/>
    <w:rsid w:val="003244A0"/>
    <w:rsid w:val="003277C0"/>
    <w:rsid w:val="00333D5A"/>
    <w:rsid w:val="003343E7"/>
    <w:rsid w:val="00334906"/>
    <w:rsid w:val="003413CE"/>
    <w:rsid w:val="00345030"/>
    <w:rsid w:val="00345750"/>
    <w:rsid w:val="00346410"/>
    <w:rsid w:val="003631F0"/>
    <w:rsid w:val="00364146"/>
    <w:rsid w:val="003760BA"/>
    <w:rsid w:val="003926D6"/>
    <w:rsid w:val="003B0E02"/>
    <w:rsid w:val="003B1B02"/>
    <w:rsid w:val="003C0447"/>
    <w:rsid w:val="003C1C31"/>
    <w:rsid w:val="003C5932"/>
    <w:rsid w:val="003C7830"/>
    <w:rsid w:val="003D74F0"/>
    <w:rsid w:val="003E4FD2"/>
    <w:rsid w:val="003E53BE"/>
    <w:rsid w:val="003E5C13"/>
    <w:rsid w:val="003E62DA"/>
    <w:rsid w:val="003F2B49"/>
    <w:rsid w:val="003F2C3E"/>
    <w:rsid w:val="003F4171"/>
    <w:rsid w:val="00402DD9"/>
    <w:rsid w:val="00414B0C"/>
    <w:rsid w:val="0041528B"/>
    <w:rsid w:val="00437F9A"/>
    <w:rsid w:val="00452696"/>
    <w:rsid w:val="0045677E"/>
    <w:rsid w:val="00466D7D"/>
    <w:rsid w:val="00467BDC"/>
    <w:rsid w:val="00485718"/>
    <w:rsid w:val="0048727A"/>
    <w:rsid w:val="004944C6"/>
    <w:rsid w:val="004B0E18"/>
    <w:rsid w:val="004B5DEB"/>
    <w:rsid w:val="004B65DC"/>
    <w:rsid w:val="004C1286"/>
    <w:rsid w:val="004C73E6"/>
    <w:rsid w:val="004D6DA4"/>
    <w:rsid w:val="004E250A"/>
    <w:rsid w:val="004E3145"/>
    <w:rsid w:val="004F6A82"/>
    <w:rsid w:val="0051064F"/>
    <w:rsid w:val="005203F8"/>
    <w:rsid w:val="00526A05"/>
    <w:rsid w:val="00532BA0"/>
    <w:rsid w:val="0054400E"/>
    <w:rsid w:val="005669AF"/>
    <w:rsid w:val="00575254"/>
    <w:rsid w:val="0058401F"/>
    <w:rsid w:val="005924A5"/>
    <w:rsid w:val="005B3CF7"/>
    <w:rsid w:val="005C468A"/>
    <w:rsid w:val="005C63FB"/>
    <w:rsid w:val="005D39AF"/>
    <w:rsid w:val="005D5A65"/>
    <w:rsid w:val="005E1377"/>
    <w:rsid w:val="005E6D9C"/>
    <w:rsid w:val="005F74CF"/>
    <w:rsid w:val="00607FE1"/>
    <w:rsid w:val="00612726"/>
    <w:rsid w:val="006166AF"/>
    <w:rsid w:val="006202E4"/>
    <w:rsid w:val="00624744"/>
    <w:rsid w:val="006329B6"/>
    <w:rsid w:val="00654609"/>
    <w:rsid w:val="006616B4"/>
    <w:rsid w:val="00695413"/>
    <w:rsid w:val="006A33FD"/>
    <w:rsid w:val="006A79BD"/>
    <w:rsid w:val="006C1ED7"/>
    <w:rsid w:val="006D70F2"/>
    <w:rsid w:val="006D7FBA"/>
    <w:rsid w:val="006E3FF3"/>
    <w:rsid w:val="006F155A"/>
    <w:rsid w:val="006F1D91"/>
    <w:rsid w:val="006F5134"/>
    <w:rsid w:val="006F553C"/>
    <w:rsid w:val="006F775E"/>
    <w:rsid w:val="007008F4"/>
    <w:rsid w:val="00702C7E"/>
    <w:rsid w:val="00705541"/>
    <w:rsid w:val="0071016C"/>
    <w:rsid w:val="007367E2"/>
    <w:rsid w:val="00740841"/>
    <w:rsid w:val="00753CB2"/>
    <w:rsid w:val="00763485"/>
    <w:rsid w:val="00776456"/>
    <w:rsid w:val="00796B5D"/>
    <w:rsid w:val="007B4CA8"/>
    <w:rsid w:val="007C0A11"/>
    <w:rsid w:val="007D7792"/>
    <w:rsid w:val="007F6F6E"/>
    <w:rsid w:val="00801A00"/>
    <w:rsid w:val="00803CFD"/>
    <w:rsid w:val="00817054"/>
    <w:rsid w:val="00856026"/>
    <w:rsid w:val="008630D9"/>
    <w:rsid w:val="008658C1"/>
    <w:rsid w:val="00872AAC"/>
    <w:rsid w:val="00883F50"/>
    <w:rsid w:val="00894A83"/>
    <w:rsid w:val="0089779C"/>
    <w:rsid w:val="008B05EE"/>
    <w:rsid w:val="008B49DC"/>
    <w:rsid w:val="008C0EB5"/>
    <w:rsid w:val="008C5734"/>
    <w:rsid w:val="008C6058"/>
    <w:rsid w:val="008D5026"/>
    <w:rsid w:val="008D518D"/>
    <w:rsid w:val="008D5518"/>
    <w:rsid w:val="008D5C4E"/>
    <w:rsid w:val="008E2CE2"/>
    <w:rsid w:val="008F2C7E"/>
    <w:rsid w:val="00905E2B"/>
    <w:rsid w:val="0091351F"/>
    <w:rsid w:val="00917296"/>
    <w:rsid w:val="00924DC0"/>
    <w:rsid w:val="00930D22"/>
    <w:rsid w:val="00937D5C"/>
    <w:rsid w:val="009406DB"/>
    <w:rsid w:val="0094086D"/>
    <w:rsid w:val="00962E88"/>
    <w:rsid w:val="009713F5"/>
    <w:rsid w:val="009716BE"/>
    <w:rsid w:val="00980AFA"/>
    <w:rsid w:val="00987533"/>
    <w:rsid w:val="00991285"/>
    <w:rsid w:val="00993FA3"/>
    <w:rsid w:val="0099694C"/>
    <w:rsid w:val="009A4C6A"/>
    <w:rsid w:val="009A7483"/>
    <w:rsid w:val="009B1D17"/>
    <w:rsid w:val="009B2DC9"/>
    <w:rsid w:val="009C06A5"/>
    <w:rsid w:val="009C5F76"/>
    <w:rsid w:val="009C667A"/>
    <w:rsid w:val="009D2A29"/>
    <w:rsid w:val="009D3E93"/>
    <w:rsid w:val="009D3F87"/>
    <w:rsid w:val="009D6672"/>
    <w:rsid w:val="009D6F25"/>
    <w:rsid w:val="009E026E"/>
    <w:rsid w:val="009F5B7A"/>
    <w:rsid w:val="00A10D4A"/>
    <w:rsid w:val="00A13BEA"/>
    <w:rsid w:val="00A26A88"/>
    <w:rsid w:val="00A33CFA"/>
    <w:rsid w:val="00A40B9B"/>
    <w:rsid w:val="00A4359E"/>
    <w:rsid w:val="00A446C2"/>
    <w:rsid w:val="00A53A26"/>
    <w:rsid w:val="00A543E2"/>
    <w:rsid w:val="00A557AB"/>
    <w:rsid w:val="00A55B9B"/>
    <w:rsid w:val="00A6209C"/>
    <w:rsid w:val="00A66233"/>
    <w:rsid w:val="00A71A2B"/>
    <w:rsid w:val="00A84DE5"/>
    <w:rsid w:val="00A87BA0"/>
    <w:rsid w:val="00A91E47"/>
    <w:rsid w:val="00A9420C"/>
    <w:rsid w:val="00AA52DB"/>
    <w:rsid w:val="00AB38CF"/>
    <w:rsid w:val="00AC7F18"/>
    <w:rsid w:val="00AD677A"/>
    <w:rsid w:val="00AD79EF"/>
    <w:rsid w:val="00AE24A3"/>
    <w:rsid w:val="00AE34EF"/>
    <w:rsid w:val="00AF103B"/>
    <w:rsid w:val="00AF1219"/>
    <w:rsid w:val="00AF2446"/>
    <w:rsid w:val="00AF700F"/>
    <w:rsid w:val="00B375E9"/>
    <w:rsid w:val="00B41CC9"/>
    <w:rsid w:val="00B51663"/>
    <w:rsid w:val="00B704AF"/>
    <w:rsid w:val="00B811C9"/>
    <w:rsid w:val="00B829CE"/>
    <w:rsid w:val="00B9016C"/>
    <w:rsid w:val="00B905E1"/>
    <w:rsid w:val="00B913AF"/>
    <w:rsid w:val="00B94852"/>
    <w:rsid w:val="00BB69C8"/>
    <w:rsid w:val="00BB6B12"/>
    <w:rsid w:val="00BD34AC"/>
    <w:rsid w:val="00C11389"/>
    <w:rsid w:val="00C15419"/>
    <w:rsid w:val="00C15481"/>
    <w:rsid w:val="00C2494F"/>
    <w:rsid w:val="00C328D9"/>
    <w:rsid w:val="00C602EF"/>
    <w:rsid w:val="00C649AD"/>
    <w:rsid w:val="00C721C0"/>
    <w:rsid w:val="00C740C8"/>
    <w:rsid w:val="00C8179F"/>
    <w:rsid w:val="00C94ED9"/>
    <w:rsid w:val="00CC0A33"/>
    <w:rsid w:val="00CC4E0C"/>
    <w:rsid w:val="00CC5CC7"/>
    <w:rsid w:val="00CD1758"/>
    <w:rsid w:val="00CD5FB3"/>
    <w:rsid w:val="00CE21E3"/>
    <w:rsid w:val="00CF15A0"/>
    <w:rsid w:val="00CF5576"/>
    <w:rsid w:val="00D03C99"/>
    <w:rsid w:val="00D0734A"/>
    <w:rsid w:val="00D1256A"/>
    <w:rsid w:val="00D13FFE"/>
    <w:rsid w:val="00D165FC"/>
    <w:rsid w:val="00D17483"/>
    <w:rsid w:val="00D23602"/>
    <w:rsid w:val="00D240CD"/>
    <w:rsid w:val="00D26D55"/>
    <w:rsid w:val="00D35507"/>
    <w:rsid w:val="00D4436D"/>
    <w:rsid w:val="00D60DAB"/>
    <w:rsid w:val="00D622CE"/>
    <w:rsid w:val="00D628E0"/>
    <w:rsid w:val="00D7053C"/>
    <w:rsid w:val="00D720E4"/>
    <w:rsid w:val="00D76A37"/>
    <w:rsid w:val="00D76A94"/>
    <w:rsid w:val="00D77CF2"/>
    <w:rsid w:val="00D86ED9"/>
    <w:rsid w:val="00D90B48"/>
    <w:rsid w:val="00D919DF"/>
    <w:rsid w:val="00DA33B5"/>
    <w:rsid w:val="00DA48E7"/>
    <w:rsid w:val="00DA7969"/>
    <w:rsid w:val="00DC3213"/>
    <w:rsid w:val="00DC4980"/>
    <w:rsid w:val="00DF6836"/>
    <w:rsid w:val="00E1025E"/>
    <w:rsid w:val="00E15689"/>
    <w:rsid w:val="00E15979"/>
    <w:rsid w:val="00E20E74"/>
    <w:rsid w:val="00E23D9A"/>
    <w:rsid w:val="00E244FA"/>
    <w:rsid w:val="00E50171"/>
    <w:rsid w:val="00E530B4"/>
    <w:rsid w:val="00E6175B"/>
    <w:rsid w:val="00E714E2"/>
    <w:rsid w:val="00E751D3"/>
    <w:rsid w:val="00E80F12"/>
    <w:rsid w:val="00E9089E"/>
    <w:rsid w:val="00EB0BEC"/>
    <w:rsid w:val="00EB36D6"/>
    <w:rsid w:val="00EC4784"/>
    <w:rsid w:val="00EE2A01"/>
    <w:rsid w:val="00EE2D71"/>
    <w:rsid w:val="00EF14F7"/>
    <w:rsid w:val="00F04977"/>
    <w:rsid w:val="00F1233D"/>
    <w:rsid w:val="00F15E10"/>
    <w:rsid w:val="00F25242"/>
    <w:rsid w:val="00F32895"/>
    <w:rsid w:val="00F42B29"/>
    <w:rsid w:val="00F606BD"/>
    <w:rsid w:val="00F61A6A"/>
    <w:rsid w:val="00F723DE"/>
    <w:rsid w:val="00F8176D"/>
    <w:rsid w:val="00F86CE6"/>
    <w:rsid w:val="00F946FE"/>
    <w:rsid w:val="00FA27A0"/>
    <w:rsid w:val="00FA288D"/>
    <w:rsid w:val="00FB19BA"/>
    <w:rsid w:val="00FB326B"/>
    <w:rsid w:val="00FB5C24"/>
    <w:rsid w:val="00FC04E4"/>
    <w:rsid w:val="00FC2245"/>
    <w:rsid w:val="00FC7B98"/>
    <w:rsid w:val="00FE52EE"/>
    <w:rsid w:val="00FE7B32"/>
    <w:rsid w:val="00FF1126"/>
    <w:rsid w:val="00FF219A"/>
    <w:rsid w:val="00FF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2F05C-C4B8-4CE6-976A-CC62BE6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254"/>
    <w:rPr>
      <w:sz w:val="18"/>
      <w:szCs w:val="18"/>
    </w:rPr>
  </w:style>
  <w:style w:type="paragraph" w:styleId="a4">
    <w:name w:val="footer"/>
    <w:basedOn w:val="a"/>
    <w:link w:val="Char0"/>
    <w:uiPriority w:val="99"/>
    <w:unhideWhenUsed/>
    <w:rsid w:val="00575254"/>
    <w:pPr>
      <w:tabs>
        <w:tab w:val="center" w:pos="4153"/>
        <w:tab w:val="right" w:pos="8306"/>
      </w:tabs>
      <w:snapToGrid w:val="0"/>
      <w:jc w:val="left"/>
    </w:pPr>
    <w:rPr>
      <w:sz w:val="18"/>
      <w:szCs w:val="18"/>
    </w:rPr>
  </w:style>
  <w:style w:type="character" w:customStyle="1" w:styleId="Char0">
    <w:name w:val="页脚 Char"/>
    <w:basedOn w:val="a0"/>
    <w:link w:val="a4"/>
    <w:uiPriority w:val="99"/>
    <w:rsid w:val="00575254"/>
    <w:rPr>
      <w:sz w:val="18"/>
      <w:szCs w:val="18"/>
    </w:rPr>
  </w:style>
  <w:style w:type="paragraph" w:styleId="a5">
    <w:name w:val="List Paragraph"/>
    <w:basedOn w:val="a"/>
    <w:uiPriority w:val="34"/>
    <w:qFormat/>
    <w:rsid w:val="00FB19BA"/>
    <w:pPr>
      <w:ind w:firstLineChars="200" w:firstLine="420"/>
    </w:pPr>
  </w:style>
  <w:style w:type="paragraph" w:styleId="a6">
    <w:name w:val="Balloon Text"/>
    <w:basedOn w:val="a"/>
    <w:link w:val="Char1"/>
    <w:uiPriority w:val="99"/>
    <w:semiHidden/>
    <w:unhideWhenUsed/>
    <w:rsid w:val="00D240CD"/>
    <w:rPr>
      <w:sz w:val="18"/>
      <w:szCs w:val="18"/>
    </w:rPr>
  </w:style>
  <w:style w:type="character" w:customStyle="1" w:styleId="Char1">
    <w:name w:val="批注框文本 Char"/>
    <w:basedOn w:val="a0"/>
    <w:link w:val="a6"/>
    <w:uiPriority w:val="99"/>
    <w:semiHidden/>
    <w:rsid w:val="00D240CD"/>
    <w:rPr>
      <w:sz w:val="18"/>
      <w:szCs w:val="18"/>
    </w:rPr>
  </w:style>
  <w:style w:type="paragraph" w:styleId="a7">
    <w:name w:val="footnote text"/>
    <w:basedOn w:val="a"/>
    <w:link w:val="Char2"/>
    <w:uiPriority w:val="99"/>
    <w:semiHidden/>
    <w:unhideWhenUsed/>
    <w:rsid w:val="00C649AD"/>
    <w:pPr>
      <w:snapToGrid w:val="0"/>
      <w:jc w:val="left"/>
    </w:pPr>
    <w:rPr>
      <w:sz w:val="18"/>
      <w:szCs w:val="18"/>
    </w:rPr>
  </w:style>
  <w:style w:type="character" w:customStyle="1" w:styleId="Char2">
    <w:name w:val="脚注文本 Char"/>
    <w:basedOn w:val="a0"/>
    <w:link w:val="a7"/>
    <w:uiPriority w:val="99"/>
    <w:semiHidden/>
    <w:rsid w:val="00C649AD"/>
    <w:rPr>
      <w:sz w:val="18"/>
      <w:szCs w:val="18"/>
    </w:rPr>
  </w:style>
  <w:style w:type="character" w:styleId="a8">
    <w:name w:val="footnote reference"/>
    <w:basedOn w:val="a0"/>
    <w:uiPriority w:val="99"/>
    <w:semiHidden/>
    <w:unhideWhenUsed/>
    <w:rsid w:val="00C64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10">
      <w:bodyDiv w:val="1"/>
      <w:marLeft w:val="0"/>
      <w:marRight w:val="0"/>
      <w:marTop w:val="0"/>
      <w:marBottom w:val="0"/>
      <w:divBdr>
        <w:top w:val="none" w:sz="0" w:space="0" w:color="auto"/>
        <w:left w:val="none" w:sz="0" w:space="0" w:color="auto"/>
        <w:bottom w:val="none" w:sz="0" w:space="0" w:color="auto"/>
        <w:right w:val="none" w:sz="0" w:space="0" w:color="auto"/>
      </w:divBdr>
    </w:div>
    <w:div w:id="38014040">
      <w:bodyDiv w:val="1"/>
      <w:marLeft w:val="0"/>
      <w:marRight w:val="0"/>
      <w:marTop w:val="0"/>
      <w:marBottom w:val="0"/>
      <w:divBdr>
        <w:top w:val="none" w:sz="0" w:space="0" w:color="auto"/>
        <w:left w:val="none" w:sz="0" w:space="0" w:color="auto"/>
        <w:bottom w:val="none" w:sz="0" w:space="0" w:color="auto"/>
        <w:right w:val="none" w:sz="0" w:space="0" w:color="auto"/>
      </w:divBdr>
    </w:div>
    <w:div w:id="55052711">
      <w:bodyDiv w:val="1"/>
      <w:marLeft w:val="0"/>
      <w:marRight w:val="0"/>
      <w:marTop w:val="0"/>
      <w:marBottom w:val="0"/>
      <w:divBdr>
        <w:top w:val="none" w:sz="0" w:space="0" w:color="auto"/>
        <w:left w:val="none" w:sz="0" w:space="0" w:color="auto"/>
        <w:bottom w:val="none" w:sz="0" w:space="0" w:color="auto"/>
        <w:right w:val="none" w:sz="0" w:space="0" w:color="auto"/>
      </w:divBdr>
    </w:div>
    <w:div w:id="104616092">
      <w:bodyDiv w:val="1"/>
      <w:marLeft w:val="0"/>
      <w:marRight w:val="0"/>
      <w:marTop w:val="0"/>
      <w:marBottom w:val="0"/>
      <w:divBdr>
        <w:top w:val="none" w:sz="0" w:space="0" w:color="auto"/>
        <w:left w:val="none" w:sz="0" w:space="0" w:color="auto"/>
        <w:bottom w:val="none" w:sz="0" w:space="0" w:color="auto"/>
        <w:right w:val="none" w:sz="0" w:space="0" w:color="auto"/>
      </w:divBdr>
    </w:div>
    <w:div w:id="106970385">
      <w:bodyDiv w:val="1"/>
      <w:marLeft w:val="0"/>
      <w:marRight w:val="0"/>
      <w:marTop w:val="0"/>
      <w:marBottom w:val="0"/>
      <w:divBdr>
        <w:top w:val="none" w:sz="0" w:space="0" w:color="auto"/>
        <w:left w:val="none" w:sz="0" w:space="0" w:color="auto"/>
        <w:bottom w:val="none" w:sz="0" w:space="0" w:color="auto"/>
        <w:right w:val="none" w:sz="0" w:space="0" w:color="auto"/>
      </w:divBdr>
    </w:div>
    <w:div w:id="115376088">
      <w:bodyDiv w:val="1"/>
      <w:marLeft w:val="0"/>
      <w:marRight w:val="0"/>
      <w:marTop w:val="0"/>
      <w:marBottom w:val="0"/>
      <w:divBdr>
        <w:top w:val="none" w:sz="0" w:space="0" w:color="auto"/>
        <w:left w:val="none" w:sz="0" w:space="0" w:color="auto"/>
        <w:bottom w:val="none" w:sz="0" w:space="0" w:color="auto"/>
        <w:right w:val="none" w:sz="0" w:space="0" w:color="auto"/>
      </w:divBdr>
    </w:div>
    <w:div w:id="117064701">
      <w:bodyDiv w:val="1"/>
      <w:marLeft w:val="0"/>
      <w:marRight w:val="0"/>
      <w:marTop w:val="0"/>
      <w:marBottom w:val="0"/>
      <w:divBdr>
        <w:top w:val="none" w:sz="0" w:space="0" w:color="auto"/>
        <w:left w:val="none" w:sz="0" w:space="0" w:color="auto"/>
        <w:bottom w:val="none" w:sz="0" w:space="0" w:color="auto"/>
        <w:right w:val="none" w:sz="0" w:space="0" w:color="auto"/>
      </w:divBdr>
    </w:div>
    <w:div w:id="123086269">
      <w:bodyDiv w:val="1"/>
      <w:marLeft w:val="0"/>
      <w:marRight w:val="0"/>
      <w:marTop w:val="0"/>
      <w:marBottom w:val="0"/>
      <w:divBdr>
        <w:top w:val="none" w:sz="0" w:space="0" w:color="auto"/>
        <w:left w:val="none" w:sz="0" w:space="0" w:color="auto"/>
        <w:bottom w:val="none" w:sz="0" w:space="0" w:color="auto"/>
        <w:right w:val="none" w:sz="0" w:space="0" w:color="auto"/>
      </w:divBdr>
    </w:div>
    <w:div w:id="178087539">
      <w:bodyDiv w:val="1"/>
      <w:marLeft w:val="0"/>
      <w:marRight w:val="0"/>
      <w:marTop w:val="0"/>
      <w:marBottom w:val="0"/>
      <w:divBdr>
        <w:top w:val="none" w:sz="0" w:space="0" w:color="auto"/>
        <w:left w:val="none" w:sz="0" w:space="0" w:color="auto"/>
        <w:bottom w:val="none" w:sz="0" w:space="0" w:color="auto"/>
        <w:right w:val="none" w:sz="0" w:space="0" w:color="auto"/>
      </w:divBdr>
    </w:div>
    <w:div w:id="222957759">
      <w:bodyDiv w:val="1"/>
      <w:marLeft w:val="0"/>
      <w:marRight w:val="0"/>
      <w:marTop w:val="0"/>
      <w:marBottom w:val="0"/>
      <w:divBdr>
        <w:top w:val="none" w:sz="0" w:space="0" w:color="auto"/>
        <w:left w:val="none" w:sz="0" w:space="0" w:color="auto"/>
        <w:bottom w:val="none" w:sz="0" w:space="0" w:color="auto"/>
        <w:right w:val="none" w:sz="0" w:space="0" w:color="auto"/>
      </w:divBdr>
    </w:div>
    <w:div w:id="224486236">
      <w:bodyDiv w:val="1"/>
      <w:marLeft w:val="0"/>
      <w:marRight w:val="0"/>
      <w:marTop w:val="0"/>
      <w:marBottom w:val="0"/>
      <w:divBdr>
        <w:top w:val="none" w:sz="0" w:space="0" w:color="auto"/>
        <w:left w:val="none" w:sz="0" w:space="0" w:color="auto"/>
        <w:bottom w:val="none" w:sz="0" w:space="0" w:color="auto"/>
        <w:right w:val="none" w:sz="0" w:space="0" w:color="auto"/>
      </w:divBdr>
    </w:div>
    <w:div w:id="230312645">
      <w:bodyDiv w:val="1"/>
      <w:marLeft w:val="0"/>
      <w:marRight w:val="0"/>
      <w:marTop w:val="0"/>
      <w:marBottom w:val="0"/>
      <w:divBdr>
        <w:top w:val="none" w:sz="0" w:space="0" w:color="auto"/>
        <w:left w:val="none" w:sz="0" w:space="0" w:color="auto"/>
        <w:bottom w:val="none" w:sz="0" w:space="0" w:color="auto"/>
        <w:right w:val="none" w:sz="0" w:space="0" w:color="auto"/>
      </w:divBdr>
    </w:div>
    <w:div w:id="240339829">
      <w:bodyDiv w:val="1"/>
      <w:marLeft w:val="0"/>
      <w:marRight w:val="0"/>
      <w:marTop w:val="0"/>
      <w:marBottom w:val="0"/>
      <w:divBdr>
        <w:top w:val="none" w:sz="0" w:space="0" w:color="auto"/>
        <w:left w:val="none" w:sz="0" w:space="0" w:color="auto"/>
        <w:bottom w:val="none" w:sz="0" w:space="0" w:color="auto"/>
        <w:right w:val="none" w:sz="0" w:space="0" w:color="auto"/>
      </w:divBdr>
    </w:div>
    <w:div w:id="319963717">
      <w:bodyDiv w:val="1"/>
      <w:marLeft w:val="0"/>
      <w:marRight w:val="0"/>
      <w:marTop w:val="0"/>
      <w:marBottom w:val="0"/>
      <w:divBdr>
        <w:top w:val="none" w:sz="0" w:space="0" w:color="auto"/>
        <w:left w:val="none" w:sz="0" w:space="0" w:color="auto"/>
        <w:bottom w:val="none" w:sz="0" w:space="0" w:color="auto"/>
        <w:right w:val="none" w:sz="0" w:space="0" w:color="auto"/>
      </w:divBdr>
    </w:div>
    <w:div w:id="343940462">
      <w:bodyDiv w:val="1"/>
      <w:marLeft w:val="0"/>
      <w:marRight w:val="0"/>
      <w:marTop w:val="0"/>
      <w:marBottom w:val="0"/>
      <w:divBdr>
        <w:top w:val="none" w:sz="0" w:space="0" w:color="auto"/>
        <w:left w:val="none" w:sz="0" w:space="0" w:color="auto"/>
        <w:bottom w:val="none" w:sz="0" w:space="0" w:color="auto"/>
        <w:right w:val="none" w:sz="0" w:space="0" w:color="auto"/>
      </w:divBdr>
    </w:div>
    <w:div w:id="344208337">
      <w:bodyDiv w:val="1"/>
      <w:marLeft w:val="0"/>
      <w:marRight w:val="0"/>
      <w:marTop w:val="0"/>
      <w:marBottom w:val="0"/>
      <w:divBdr>
        <w:top w:val="none" w:sz="0" w:space="0" w:color="auto"/>
        <w:left w:val="none" w:sz="0" w:space="0" w:color="auto"/>
        <w:bottom w:val="none" w:sz="0" w:space="0" w:color="auto"/>
        <w:right w:val="none" w:sz="0" w:space="0" w:color="auto"/>
      </w:divBdr>
    </w:div>
    <w:div w:id="360866121">
      <w:bodyDiv w:val="1"/>
      <w:marLeft w:val="0"/>
      <w:marRight w:val="0"/>
      <w:marTop w:val="0"/>
      <w:marBottom w:val="0"/>
      <w:divBdr>
        <w:top w:val="none" w:sz="0" w:space="0" w:color="auto"/>
        <w:left w:val="none" w:sz="0" w:space="0" w:color="auto"/>
        <w:bottom w:val="none" w:sz="0" w:space="0" w:color="auto"/>
        <w:right w:val="none" w:sz="0" w:space="0" w:color="auto"/>
      </w:divBdr>
    </w:div>
    <w:div w:id="371343407">
      <w:bodyDiv w:val="1"/>
      <w:marLeft w:val="0"/>
      <w:marRight w:val="0"/>
      <w:marTop w:val="0"/>
      <w:marBottom w:val="0"/>
      <w:divBdr>
        <w:top w:val="none" w:sz="0" w:space="0" w:color="auto"/>
        <w:left w:val="none" w:sz="0" w:space="0" w:color="auto"/>
        <w:bottom w:val="none" w:sz="0" w:space="0" w:color="auto"/>
        <w:right w:val="none" w:sz="0" w:space="0" w:color="auto"/>
      </w:divBdr>
    </w:div>
    <w:div w:id="376245327">
      <w:bodyDiv w:val="1"/>
      <w:marLeft w:val="0"/>
      <w:marRight w:val="0"/>
      <w:marTop w:val="0"/>
      <w:marBottom w:val="0"/>
      <w:divBdr>
        <w:top w:val="none" w:sz="0" w:space="0" w:color="auto"/>
        <w:left w:val="none" w:sz="0" w:space="0" w:color="auto"/>
        <w:bottom w:val="none" w:sz="0" w:space="0" w:color="auto"/>
        <w:right w:val="none" w:sz="0" w:space="0" w:color="auto"/>
      </w:divBdr>
    </w:div>
    <w:div w:id="396440875">
      <w:bodyDiv w:val="1"/>
      <w:marLeft w:val="0"/>
      <w:marRight w:val="0"/>
      <w:marTop w:val="0"/>
      <w:marBottom w:val="0"/>
      <w:divBdr>
        <w:top w:val="none" w:sz="0" w:space="0" w:color="auto"/>
        <w:left w:val="none" w:sz="0" w:space="0" w:color="auto"/>
        <w:bottom w:val="none" w:sz="0" w:space="0" w:color="auto"/>
        <w:right w:val="none" w:sz="0" w:space="0" w:color="auto"/>
      </w:divBdr>
    </w:div>
    <w:div w:id="405566558">
      <w:bodyDiv w:val="1"/>
      <w:marLeft w:val="0"/>
      <w:marRight w:val="0"/>
      <w:marTop w:val="0"/>
      <w:marBottom w:val="0"/>
      <w:divBdr>
        <w:top w:val="none" w:sz="0" w:space="0" w:color="auto"/>
        <w:left w:val="none" w:sz="0" w:space="0" w:color="auto"/>
        <w:bottom w:val="none" w:sz="0" w:space="0" w:color="auto"/>
        <w:right w:val="none" w:sz="0" w:space="0" w:color="auto"/>
      </w:divBdr>
    </w:div>
    <w:div w:id="424424953">
      <w:bodyDiv w:val="1"/>
      <w:marLeft w:val="0"/>
      <w:marRight w:val="0"/>
      <w:marTop w:val="0"/>
      <w:marBottom w:val="0"/>
      <w:divBdr>
        <w:top w:val="none" w:sz="0" w:space="0" w:color="auto"/>
        <w:left w:val="none" w:sz="0" w:space="0" w:color="auto"/>
        <w:bottom w:val="none" w:sz="0" w:space="0" w:color="auto"/>
        <w:right w:val="none" w:sz="0" w:space="0" w:color="auto"/>
      </w:divBdr>
    </w:div>
    <w:div w:id="460656409">
      <w:bodyDiv w:val="1"/>
      <w:marLeft w:val="0"/>
      <w:marRight w:val="0"/>
      <w:marTop w:val="0"/>
      <w:marBottom w:val="0"/>
      <w:divBdr>
        <w:top w:val="none" w:sz="0" w:space="0" w:color="auto"/>
        <w:left w:val="none" w:sz="0" w:space="0" w:color="auto"/>
        <w:bottom w:val="none" w:sz="0" w:space="0" w:color="auto"/>
        <w:right w:val="none" w:sz="0" w:space="0" w:color="auto"/>
      </w:divBdr>
    </w:div>
    <w:div w:id="485173446">
      <w:bodyDiv w:val="1"/>
      <w:marLeft w:val="0"/>
      <w:marRight w:val="0"/>
      <w:marTop w:val="0"/>
      <w:marBottom w:val="0"/>
      <w:divBdr>
        <w:top w:val="none" w:sz="0" w:space="0" w:color="auto"/>
        <w:left w:val="none" w:sz="0" w:space="0" w:color="auto"/>
        <w:bottom w:val="none" w:sz="0" w:space="0" w:color="auto"/>
        <w:right w:val="none" w:sz="0" w:space="0" w:color="auto"/>
      </w:divBdr>
    </w:div>
    <w:div w:id="490414212">
      <w:bodyDiv w:val="1"/>
      <w:marLeft w:val="0"/>
      <w:marRight w:val="0"/>
      <w:marTop w:val="0"/>
      <w:marBottom w:val="0"/>
      <w:divBdr>
        <w:top w:val="none" w:sz="0" w:space="0" w:color="auto"/>
        <w:left w:val="none" w:sz="0" w:space="0" w:color="auto"/>
        <w:bottom w:val="none" w:sz="0" w:space="0" w:color="auto"/>
        <w:right w:val="none" w:sz="0" w:space="0" w:color="auto"/>
      </w:divBdr>
    </w:div>
    <w:div w:id="570118541">
      <w:bodyDiv w:val="1"/>
      <w:marLeft w:val="0"/>
      <w:marRight w:val="0"/>
      <w:marTop w:val="0"/>
      <w:marBottom w:val="0"/>
      <w:divBdr>
        <w:top w:val="none" w:sz="0" w:space="0" w:color="auto"/>
        <w:left w:val="none" w:sz="0" w:space="0" w:color="auto"/>
        <w:bottom w:val="none" w:sz="0" w:space="0" w:color="auto"/>
        <w:right w:val="none" w:sz="0" w:space="0" w:color="auto"/>
      </w:divBdr>
    </w:div>
    <w:div w:id="641815533">
      <w:bodyDiv w:val="1"/>
      <w:marLeft w:val="0"/>
      <w:marRight w:val="0"/>
      <w:marTop w:val="0"/>
      <w:marBottom w:val="0"/>
      <w:divBdr>
        <w:top w:val="none" w:sz="0" w:space="0" w:color="auto"/>
        <w:left w:val="none" w:sz="0" w:space="0" w:color="auto"/>
        <w:bottom w:val="none" w:sz="0" w:space="0" w:color="auto"/>
        <w:right w:val="none" w:sz="0" w:space="0" w:color="auto"/>
      </w:divBdr>
    </w:div>
    <w:div w:id="643437846">
      <w:bodyDiv w:val="1"/>
      <w:marLeft w:val="0"/>
      <w:marRight w:val="0"/>
      <w:marTop w:val="0"/>
      <w:marBottom w:val="0"/>
      <w:divBdr>
        <w:top w:val="none" w:sz="0" w:space="0" w:color="auto"/>
        <w:left w:val="none" w:sz="0" w:space="0" w:color="auto"/>
        <w:bottom w:val="none" w:sz="0" w:space="0" w:color="auto"/>
        <w:right w:val="none" w:sz="0" w:space="0" w:color="auto"/>
      </w:divBdr>
    </w:div>
    <w:div w:id="649216312">
      <w:bodyDiv w:val="1"/>
      <w:marLeft w:val="0"/>
      <w:marRight w:val="0"/>
      <w:marTop w:val="0"/>
      <w:marBottom w:val="0"/>
      <w:divBdr>
        <w:top w:val="none" w:sz="0" w:space="0" w:color="auto"/>
        <w:left w:val="none" w:sz="0" w:space="0" w:color="auto"/>
        <w:bottom w:val="none" w:sz="0" w:space="0" w:color="auto"/>
        <w:right w:val="none" w:sz="0" w:space="0" w:color="auto"/>
      </w:divBdr>
    </w:div>
    <w:div w:id="657224078">
      <w:bodyDiv w:val="1"/>
      <w:marLeft w:val="0"/>
      <w:marRight w:val="0"/>
      <w:marTop w:val="0"/>
      <w:marBottom w:val="0"/>
      <w:divBdr>
        <w:top w:val="none" w:sz="0" w:space="0" w:color="auto"/>
        <w:left w:val="none" w:sz="0" w:space="0" w:color="auto"/>
        <w:bottom w:val="none" w:sz="0" w:space="0" w:color="auto"/>
        <w:right w:val="none" w:sz="0" w:space="0" w:color="auto"/>
      </w:divBdr>
    </w:div>
    <w:div w:id="658734832">
      <w:bodyDiv w:val="1"/>
      <w:marLeft w:val="0"/>
      <w:marRight w:val="0"/>
      <w:marTop w:val="0"/>
      <w:marBottom w:val="0"/>
      <w:divBdr>
        <w:top w:val="none" w:sz="0" w:space="0" w:color="auto"/>
        <w:left w:val="none" w:sz="0" w:space="0" w:color="auto"/>
        <w:bottom w:val="none" w:sz="0" w:space="0" w:color="auto"/>
        <w:right w:val="none" w:sz="0" w:space="0" w:color="auto"/>
      </w:divBdr>
    </w:div>
    <w:div w:id="670909011">
      <w:bodyDiv w:val="1"/>
      <w:marLeft w:val="0"/>
      <w:marRight w:val="0"/>
      <w:marTop w:val="0"/>
      <w:marBottom w:val="0"/>
      <w:divBdr>
        <w:top w:val="none" w:sz="0" w:space="0" w:color="auto"/>
        <w:left w:val="none" w:sz="0" w:space="0" w:color="auto"/>
        <w:bottom w:val="none" w:sz="0" w:space="0" w:color="auto"/>
        <w:right w:val="none" w:sz="0" w:space="0" w:color="auto"/>
      </w:divBdr>
    </w:div>
    <w:div w:id="716928276">
      <w:bodyDiv w:val="1"/>
      <w:marLeft w:val="0"/>
      <w:marRight w:val="0"/>
      <w:marTop w:val="0"/>
      <w:marBottom w:val="0"/>
      <w:divBdr>
        <w:top w:val="none" w:sz="0" w:space="0" w:color="auto"/>
        <w:left w:val="none" w:sz="0" w:space="0" w:color="auto"/>
        <w:bottom w:val="none" w:sz="0" w:space="0" w:color="auto"/>
        <w:right w:val="none" w:sz="0" w:space="0" w:color="auto"/>
      </w:divBdr>
    </w:div>
    <w:div w:id="722945456">
      <w:bodyDiv w:val="1"/>
      <w:marLeft w:val="0"/>
      <w:marRight w:val="0"/>
      <w:marTop w:val="0"/>
      <w:marBottom w:val="0"/>
      <w:divBdr>
        <w:top w:val="none" w:sz="0" w:space="0" w:color="auto"/>
        <w:left w:val="none" w:sz="0" w:space="0" w:color="auto"/>
        <w:bottom w:val="none" w:sz="0" w:space="0" w:color="auto"/>
        <w:right w:val="none" w:sz="0" w:space="0" w:color="auto"/>
      </w:divBdr>
    </w:div>
    <w:div w:id="793986886">
      <w:bodyDiv w:val="1"/>
      <w:marLeft w:val="0"/>
      <w:marRight w:val="0"/>
      <w:marTop w:val="0"/>
      <w:marBottom w:val="0"/>
      <w:divBdr>
        <w:top w:val="none" w:sz="0" w:space="0" w:color="auto"/>
        <w:left w:val="none" w:sz="0" w:space="0" w:color="auto"/>
        <w:bottom w:val="none" w:sz="0" w:space="0" w:color="auto"/>
        <w:right w:val="none" w:sz="0" w:space="0" w:color="auto"/>
      </w:divBdr>
    </w:div>
    <w:div w:id="812528569">
      <w:bodyDiv w:val="1"/>
      <w:marLeft w:val="0"/>
      <w:marRight w:val="0"/>
      <w:marTop w:val="0"/>
      <w:marBottom w:val="0"/>
      <w:divBdr>
        <w:top w:val="none" w:sz="0" w:space="0" w:color="auto"/>
        <w:left w:val="none" w:sz="0" w:space="0" w:color="auto"/>
        <w:bottom w:val="none" w:sz="0" w:space="0" w:color="auto"/>
        <w:right w:val="none" w:sz="0" w:space="0" w:color="auto"/>
      </w:divBdr>
    </w:div>
    <w:div w:id="816528766">
      <w:bodyDiv w:val="1"/>
      <w:marLeft w:val="0"/>
      <w:marRight w:val="0"/>
      <w:marTop w:val="0"/>
      <w:marBottom w:val="0"/>
      <w:divBdr>
        <w:top w:val="none" w:sz="0" w:space="0" w:color="auto"/>
        <w:left w:val="none" w:sz="0" w:space="0" w:color="auto"/>
        <w:bottom w:val="none" w:sz="0" w:space="0" w:color="auto"/>
        <w:right w:val="none" w:sz="0" w:space="0" w:color="auto"/>
      </w:divBdr>
    </w:div>
    <w:div w:id="828060357">
      <w:bodyDiv w:val="1"/>
      <w:marLeft w:val="0"/>
      <w:marRight w:val="0"/>
      <w:marTop w:val="0"/>
      <w:marBottom w:val="0"/>
      <w:divBdr>
        <w:top w:val="none" w:sz="0" w:space="0" w:color="auto"/>
        <w:left w:val="none" w:sz="0" w:space="0" w:color="auto"/>
        <w:bottom w:val="none" w:sz="0" w:space="0" w:color="auto"/>
        <w:right w:val="none" w:sz="0" w:space="0" w:color="auto"/>
      </w:divBdr>
    </w:div>
    <w:div w:id="835147046">
      <w:bodyDiv w:val="1"/>
      <w:marLeft w:val="0"/>
      <w:marRight w:val="0"/>
      <w:marTop w:val="0"/>
      <w:marBottom w:val="0"/>
      <w:divBdr>
        <w:top w:val="none" w:sz="0" w:space="0" w:color="auto"/>
        <w:left w:val="none" w:sz="0" w:space="0" w:color="auto"/>
        <w:bottom w:val="none" w:sz="0" w:space="0" w:color="auto"/>
        <w:right w:val="none" w:sz="0" w:space="0" w:color="auto"/>
      </w:divBdr>
    </w:div>
    <w:div w:id="838890933">
      <w:bodyDiv w:val="1"/>
      <w:marLeft w:val="0"/>
      <w:marRight w:val="0"/>
      <w:marTop w:val="0"/>
      <w:marBottom w:val="0"/>
      <w:divBdr>
        <w:top w:val="none" w:sz="0" w:space="0" w:color="auto"/>
        <w:left w:val="none" w:sz="0" w:space="0" w:color="auto"/>
        <w:bottom w:val="none" w:sz="0" w:space="0" w:color="auto"/>
        <w:right w:val="none" w:sz="0" w:space="0" w:color="auto"/>
      </w:divBdr>
    </w:div>
    <w:div w:id="845749723">
      <w:bodyDiv w:val="1"/>
      <w:marLeft w:val="0"/>
      <w:marRight w:val="0"/>
      <w:marTop w:val="0"/>
      <w:marBottom w:val="0"/>
      <w:divBdr>
        <w:top w:val="none" w:sz="0" w:space="0" w:color="auto"/>
        <w:left w:val="none" w:sz="0" w:space="0" w:color="auto"/>
        <w:bottom w:val="none" w:sz="0" w:space="0" w:color="auto"/>
        <w:right w:val="none" w:sz="0" w:space="0" w:color="auto"/>
      </w:divBdr>
    </w:div>
    <w:div w:id="903683419">
      <w:bodyDiv w:val="1"/>
      <w:marLeft w:val="0"/>
      <w:marRight w:val="0"/>
      <w:marTop w:val="0"/>
      <w:marBottom w:val="0"/>
      <w:divBdr>
        <w:top w:val="none" w:sz="0" w:space="0" w:color="auto"/>
        <w:left w:val="none" w:sz="0" w:space="0" w:color="auto"/>
        <w:bottom w:val="none" w:sz="0" w:space="0" w:color="auto"/>
        <w:right w:val="none" w:sz="0" w:space="0" w:color="auto"/>
      </w:divBdr>
    </w:div>
    <w:div w:id="941766383">
      <w:bodyDiv w:val="1"/>
      <w:marLeft w:val="0"/>
      <w:marRight w:val="0"/>
      <w:marTop w:val="0"/>
      <w:marBottom w:val="0"/>
      <w:divBdr>
        <w:top w:val="none" w:sz="0" w:space="0" w:color="auto"/>
        <w:left w:val="none" w:sz="0" w:space="0" w:color="auto"/>
        <w:bottom w:val="none" w:sz="0" w:space="0" w:color="auto"/>
        <w:right w:val="none" w:sz="0" w:space="0" w:color="auto"/>
      </w:divBdr>
    </w:div>
    <w:div w:id="945500515">
      <w:bodyDiv w:val="1"/>
      <w:marLeft w:val="0"/>
      <w:marRight w:val="0"/>
      <w:marTop w:val="0"/>
      <w:marBottom w:val="0"/>
      <w:divBdr>
        <w:top w:val="none" w:sz="0" w:space="0" w:color="auto"/>
        <w:left w:val="none" w:sz="0" w:space="0" w:color="auto"/>
        <w:bottom w:val="none" w:sz="0" w:space="0" w:color="auto"/>
        <w:right w:val="none" w:sz="0" w:space="0" w:color="auto"/>
      </w:divBdr>
    </w:div>
    <w:div w:id="979842812">
      <w:bodyDiv w:val="1"/>
      <w:marLeft w:val="0"/>
      <w:marRight w:val="0"/>
      <w:marTop w:val="0"/>
      <w:marBottom w:val="0"/>
      <w:divBdr>
        <w:top w:val="none" w:sz="0" w:space="0" w:color="auto"/>
        <w:left w:val="none" w:sz="0" w:space="0" w:color="auto"/>
        <w:bottom w:val="none" w:sz="0" w:space="0" w:color="auto"/>
        <w:right w:val="none" w:sz="0" w:space="0" w:color="auto"/>
      </w:divBdr>
    </w:div>
    <w:div w:id="988552567">
      <w:bodyDiv w:val="1"/>
      <w:marLeft w:val="0"/>
      <w:marRight w:val="0"/>
      <w:marTop w:val="0"/>
      <w:marBottom w:val="0"/>
      <w:divBdr>
        <w:top w:val="none" w:sz="0" w:space="0" w:color="auto"/>
        <w:left w:val="none" w:sz="0" w:space="0" w:color="auto"/>
        <w:bottom w:val="none" w:sz="0" w:space="0" w:color="auto"/>
        <w:right w:val="none" w:sz="0" w:space="0" w:color="auto"/>
      </w:divBdr>
    </w:div>
    <w:div w:id="992679819">
      <w:bodyDiv w:val="1"/>
      <w:marLeft w:val="0"/>
      <w:marRight w:val="0"/>
      <w:marTop w:val="0"/>
      <w:marBottom w:val="0"/>
      <w:divBdr>
        <w:top w:val="none" w:sz="0" w:space="0" w:color="auto"/>
        <w:left w:val="none" w:sz="0" w:space="0" w:color="auto"/>
        <w:bottom w:val="none" w:sz="0" w:space="0" w:color="auto"/>
        <w:right w:val="none" w:sz="0" w:space="0" w:color="auto"/>
      </w:divBdr>
    </w:div>
    <w:div w:id="994337819">
      <w:bodyDiv w:val="1"/>
      <w:marLeft w:val="0"/>
      <w:marRight w:val="0"/>
      <w:marTop w:val="0"/>
      <w:marBottom w:val="0"/>
      <w:divBdr>
        <w:top w:val="none" w:sz="0" w:space="0" w:color="auto"/>
        <w:left w:val="none" w:sz="0" w:space="0" w:color="auto"/>
        <w:bottom w:val="none" w:sz="0" w:space="0" w:color="auto"/>
        <w:right w:val="none" w:sz="0" w:space="0" w:color="auto"/>
      </w:divBdr>
    </w:div>
    <w:div w:id="1002128056">
      <w:bodyDiv w:val="1"/>
      <w:marLeft w:val="0"/>
      <w:marRight w:val="0"/>
      <w:marTop w:val="0"/>
      <w:marBottom w:val="0"/>
      <w:divBdr>
        <w:top w:val="none" w:sz="0" w:space="0" w:color="auto"/>
        <w:left w:val="none" w:sz="0" w:space="0" w:color="auto"/>
        <w:bottom w:val="none" w:sz="0" w:space="0" w:color="auto"/>
        <w:right w:val="none" w:sz="0" w:space="0" w:color="auto"/>
      </w:divBdr>
    </w:div>
    <w:div w:id="1035304426">
      <w:bodyDiv w:val="1"/>
      <w:marLeft w:val="0"/>
      <w:marRight w:val="0"/>
      <w:marTop w:val="0"/>
      <w:marBottom w:val="0"/>
      <w:divBdr>
        <w:top w:val="none" w:sz="0" w:space="0" w:color="auto"/>
        <w:left w:val="none" w:sz="0" w:space="0" w:color="auto"/>
        <w:bottom w:val="none" w:sz="0" w:space="0" w:color="auto"/>
        <w:right w:val="none" w:sz="0" w:space="0" w:color="auto"/>
      </w:divBdr>
    </w:div>
    <w:div w:id="1061753134">
      <w:bodyDiv w:val="1"/>
      <w:marLeft w:val="0"/>
      <w:marRight w:val="0"/>
      <w:marTop w:val="0"/>
      <w:marBottom w:val="0"/>
      <w:divBdr>
        <w:top w:val="none" w:sz="0" w:space="0" w:color="auto"/>
        <w:left w:val="none" w:sz="0" w:space="0" w:color="auto"/>
        <w:bottom w:val="none" w:sz="0" w:space="0" w:color="auto"/>
        <w:right w:val="none" w:sz="0" w:space="0" w:color="auto"/>
      </w:divBdr>
    </w:div>
    <w:div w:id="1123766368">
      <w:bodyDiv w:val="1"/>
      <w:marLeft w:val="0"/>
      <w:marRight w:val="0"/>
      <w:marTop w:val="0"/>
      <w:marBottom w:val="0"/>
      <w:divBdr>
        <w:top w:val="none" w:sz="0" w:space="0" w:color="auto"/>
        <w:left w:val="none" w:sz="0" w:space="0" w:color="auto"/>
        <w:bottom w:val="none" w:sz="0" w:space="0" w:color="auto"/>
        <w:right w:val="none" w:sz="0" w:space="0" w:color="auto"/>
      </w:divBdr>
    </w:div>
    <w:div w:id="1148327253">
      <w:bodyDiv w:val="1"/>
      <w:marLeft w:val="0"/>
      <w:marRight w:val="0"/>
      <w:marTop w:val="0"/>
      <w:marBottom w:val="0"/>
      <w:divBdr>
        <w:top w:val="none" w:sz="0" w:space="0" w:color="auto"/>
        <w:left w:val="none" w:sz="0" w:space="0" w:color="auto"/>
        <w:bottom w:val="none" w:sz="0" w:space="0" w:color="auto"/>
        <w:right w:val="none" w:sz="0" w:space="0" w:color="auto"/>
      </w:divBdr>
    </w:div>
    <w:div w:id="1150096993">
      <w:bodyDiv w:val="1"/>
      <w:marLeft w:val="0"/>
      <w:marRight w:val="0"/>
      <w:marTop w:val="0"/>
      <w:marBottom w:val="0"/>
      <w:divBdr>
        <w:top w:val="none" w:sz="0" w:space="0" w:color="auto"/>
        <w:left w:val="none" w:sz="0" w:space="0" w:color="auto"/>
        <w:bottom w:val="none" w:sz="0" w:space="0" w:color="auto"/>
        <w:right w:val="none" w:sz="0" w:space="0" w:color="auto"/>
      </w:divBdr>
    </w:div>
    <w:div w:id="1172256042">
      <w:bodyDiv w:val="1"/>
      <w:marLeft w:val="0"/>
      <w:marRight w:val="0"/>
      <w:marTop w:val="0"/>
      <w:marBottom w:val="0"/>
      <w:divBdr>
        <w:top w:val="none" w:sz="0" w:space="0" w:color="auto"/>
        <w:left w:val="none" w:sz="0" w:space="0" w:color="auto"/>
        <w:bottom w:val="none" w:sz="0" w:space="0" w:color="auto"/>
        <w:right w:val="none" w:sz="0" w:space="0" w:color="auto"/>
      </w:divBdr>
    </w:div>
    <w:div w:id="1174493642">
      <w:bodyDiv w:val="1"/>
      <w:marLeft w:val="0"/>
      <w:marRight w:val="0"/>
      <w:marTop w:val="0"/>
      <w:marBottom w:val="0"/>
      <w:divBdr>
        <w:top w:val="none" w:sz="0" w:space="0" w:color="auto"/>
        <w:left w:val="none" w:sz="0" w:space="0" w:color="auto"/>
        <w:bottom w:val="none" w:sz="0" w:space="0" w:color="auto"/>
        <w:right w:val="none" w:sz="0" w:space="0" w:color="auto"/>
      </w:divBdr>
    </w:div>
    <w:div w:id="1175459053">
      <w:bodyDiv w:val="1"/>
      <w:marLeft w:val="0"/>
      <w:marRight w:val="0"/>
      <w:marTop w:val="0"/>
      <w:marBottom w:val="0"/>
      <w:divBdr>
        <w:top w:val="none" w:sz="0" w:space="0" w:color="auto"/>
        <w:left w:val="none" w:sz="0" w:space="0" w:color="auto"/>
        <w:bottom w:val="none" w:sz="0" w:space="0" w:color="auto"/>
        <w:right w:val="none" w:sz="0" w:space="0" w:color="auto"/>
      </w:divBdr>
    </w:div>
    <w:div w:id="1192065702">
      <w:bodyDiv w:val="1"/>
      <w:marLeft w:val="0"/>
      <w:marRight w:val="0"/>
      <w:marTop w:val="0"/>
      <w:marBottom w:val="0"/>
      <w:divBdr>
        <w:top w:val="none" w:sz="0" w:space="0" w:color="auto"/>
        <w:left w:val="none" w:sz="0" w:space="0" w:color="auto"/>
        <w:bottom w:val="none" w:sz="0" w:space="0" w:color="auto"/>
        <w:right w:val="none" w:sz="0" w:space="0" w:color="auto"/>
      </w:divBdr>
    </w:div>
    <w:div w:id="1240364023">
      <w:bodyDiv w:val="1"/>
      <w:marLeft w:val="0"/>
      <w:marRight w:val="0"/>
      <w:marTop w:val="0"/>
      <w:marBottom w:val="0"/>
      <w:divBdr>
        <w:top w:val="none" w:sz="0" w:space="0" w:color="auto"/>
        <w:left w:val="none" w:sz="0" w:space="0" w:color="auto"/>
        <w:bottom w:val="none" w:sz="0" w:space="0" w:color="auto"/>
        <w:right w:val="none" w:sz="0" w:space="0" w:color="auto"/>
      </w:divBdr>
    </w:div>
    <w:div w:id="1298072352">
      <w:bodyDiv w:val="1"/>
      <w:marLeft w:val="0"/>
      <w:marRight w:val="0"/>
      <w:marTop w:val="0"/>
      <w:marBottom w:val="0"/>
      <w:divBdr>
        <w:top w:val="none" w:sz="0" w:space="0" w:color="auto"/>
        <w:left w:val="none" w:sz="0" w:space="0" w:color="auto"/>
        <w:bottom w:val="none" w:sz="0" w:space="0" w:color="auto"/>
        <w:right w:val="none" w:sz="0" w:space="0" w:color="auto"/>
      </w:divBdr>
    </w:div>
    <w:div w:id="1304655813">
      <w:bodyDiv w:val="1"/>
      <w:marLeft w:val="0"/>
      <w:marRight w:val="0"/>
      <w:marTop w:val="0"/>
      <w:marBottom w:val="0"/>
      <w:divBdr>
        <w:top w:val="none" w:sz="0" w:space="0" w:color="auto"/>
        <w:left w:val="none" w:sz="0" w:space="0" w:color="auto"/>
        <w:bottom w:val="none" w:sz="0" w:space="0" w:color="auto"/>
        <w:right w:val="none" w:sz="0" w:space="0" w:color="auto"/>
      </w:divBdr>
    </w:div>
    <w:div w:id="1342663966">
      <w:bodyDiv w:val="1"/>
      <w:marLeft w:val="0"/>
      <w:marRight w:val="0"/>
      <w:marTop w:val="0"/>
      <w:marBottom w:val="0"/>
      <w:divBdr>
        <w:top w:val="none" w:sz="0" w:space="0" w:color="auto"/>
        <w:left w:val="none" w:sz="0" w:space="0" w:color="auto"/>
        <w:bottom w:val="none" w:sz="0" w:space="0" w:color="auto"/>
        <w:right w:val="none" w:sz="0" w:space="0" w:color="auto"/>
      </w:divBdr>
    </w:div>
    <w:div w:id="1342704233">
      <w:bodyDiv w:val="1"/>
      <w:marLeft w:val="0"/>
      <w:marRight w:val="0"/>
      <w:marTop w:val="0"/>
      <w:marBottom w:val="0"/>
      <w:divBdr>
        <w:top w:val="none" w:sz="0" w:space="0" w:color="auto"/>
        <w:left w:val="none" w:sz="0" w:space="0" w:color="auto"/>
        <w:bottom w:val="none" w:sz="0" w:space="0" w:color="auto"/>
        <w:right w:val="none" w:sz="0" w:space="0" w:color="auto"/>
      </w:divBdr>
    </w:div>
    <w:div w:id="1377242815">
      <w:bodyDiv w:val="1"/>
      <w:marLeft w:val="0"/>
      <w:marRight w:val="0"/>
      <w:marTop w:val="0"/>
      <w:marBottom w:val="0"/>
      <w:divBdr>
        <w:top w:val="none" w:sz="0" w:space="0" w:color="auto"/>
        <w:left w:val="none" w:sz="0" w:space="0" w:color="auto"/>
        <w:bottom w:val="none" w:sz="0" w:space="0" w:color="auto"/>
        <w:right w:val="none" w:sz="0" w:space="0" w:color="auto"/>
      </w:divBdr>
    </w:div>
    <w:div w:id="1415781314">
      <w:bodyDiv w:val="1"/>
      <w:marLeft w:val="0"/>
      <w:marRight w:val="0"/>
      <w:marTop w:val="0"/>
      <w:marBottom w:val="0"/>
      <w:divBdr>
        <w:top w:val="none" w:sz="0" w:space="0" w:color="auto"/>
        <w:left w:val="none" w:sz="0" w:space="0" w:color="auto"/>
        <w:bottom w:val="none" w:sz="0" w:space="0" w:color="auto"/>
        <w:right w:val="none" w:sz="0" w:space="0" w:color="auto"/>
      </w:divBdr>
    </w:div>
    <w:div w:id="1453595431">
      <w:bodyDiv w:val="1"/>
      <w:marLeft w:val="0"/>
      <w:marRight w:val="0"/>
      <w:marTop w:val="0"/>
      <w:marBottom w:val="0"/>
      <w:divBdr>
        <w:top w:val="none" w:sz="0" w:space="0" w:color="auto"/>
        <w:left w:val="none" w:sz="0" w:space="0" w:color="auto"/>
        <w:bottom w:val="none" w:sz="0" w:space="0" w:color="auto"/>
        <w:right w:val="none" w:sz="0" w:space="0" w:color="auto"/>
      </w:divBdr>
    </w:div>
    <w:div w:id="1466045311">
      <w:bodyDiv w:val="1"/>
      <w:marLeft w:val="0"/>
      <w:marRight w:val="0"/>
      <w:marTop w:val="0"/>
      <w:marBottom w:val="0"/>
      <w:divBdr>
        <w:top w:val="none" w:sz="0" w:space="0" w:color="auto"/>
        <w:left w:val="none" w:sz="0" w:space="0" w:color="auto"/>
        <w:bottom w:val="none" w:sz="0" w:space="0" w:color="auto"/>
        <w:right w:val="none" w:sz="0" w:space="0" w:color="auto"/>
      </w:divBdr>
    </w:div>
    <w:div w:id="1499734370">
      <w:bodyDiv w:val="1"/>
      <w:marLeft w:val="0"/>
      <w:marRight w:val="0"/>
      <w:marTop w:val="0"/>
      <w:marBottom w:val="0"/>
      <w:divBdr>
        <w:top w:val="none" w:sz="0" w:space="0" w:color="auto"/>
        <w:left w:val="none" w:sz="0" w:space="0" w:color="auto"/>
        <w:bottom w:val="none" w:sz="0" w:space="0" w:color="auto"/>
        <w:right w:val="none" w:sz="0" w:space="0" w:color="auto"/>
      </w:divBdr>
    </w:div>
    <w:div w:id="1545632288">
      <w:bodyDiv w:val="1"/>
      <w:marLeft w:val="0"/>
      <w:marRight w:val="0"/>
      <w:marTop w:val="0"/>
      <w:marBottom w:val="0"/>
      <w:divBdr>
        <w:top w:val="none" w:sz="0" w:space="0" w:color="auto"/>
        <w:left w:val="none" w:sz="0" w:space="0" w:color="auto"/>
        <w:bottom w:val="none" w:sz="0" w:space="0" w:color="auto"/>
        <w:right w:val="none" w:sz="0" w:space="0" w:color="auto"/>
      </w:divBdr>
    </w:div>
    <w:div w:id="1564678045">
      <w:bodyDiv w:val="1"/>
      <w:marLeft w:val="0"/>
      <w:marRight w:val="0"/>
      <w:marTop w:val="0"/>
      <w:marBottom w:val="0"/>
      <w:divBdr>
        <w:top w:val="none" w:sz="0" w:space="0" w:color="auto"/>
        <w:left w:val="none" w:sz="0" w:space="0" w:color="auto"/>
        <w:bottom w:val="none" w:sz="0" w:space="0" w:color="auto"/>
        <w:right w:val="none" w:sz="0" w:space="0" w:color="auto"/>
      </w:divBdr>
    </w:div>
    <w:div w:id="1575626642">
      <w:bodyDiv w:val="1"/>
      <w:marLeft w:val="0"/>
      <w:marRight w:val="0"/>
      <w:marTop w:val="0"/>
      <w:marBottom w:val="0"/>
      <w:divBdr>
        <w:top w:val="none" w:sz="0" w:space="0" w:color="auto"/>
        <w:left w:val="none" w:sz="0" w:space="0" w:color="auto"/>
        <w:bottom w:val="none" w:sz="0" w:space="0" w:color="auto"/>
        <w:right w:val="none" w:sz="0" w:space="0" w:color="auto"/>
      </w:divBdr>
    </w:div>
    <w:div w:id="1609239689">
      <w:bodyDiv w:val="1"/>
      <w:marLeft w:val="0"/>
      <w:marRight w:val="0"/>
      <w:marTop w:val="0"/>
      <w:marBottom w:val="0"/>
      <w:divBdr>
        <w:top w:val="none" w:sz="0" w:space="0" w:color="auto"/>
        <w:left w:val="none" w:sz="0" w:space="0" w:color="auto"/>
        <w:bottom w:val="none" w:sz="0" w:space="0" w:color="auto"/>
        <w:right w:val="none" w:sz="0" w:space="0" w:color="auto"/>
      </w:divBdr>
    </w:div>
    <w:div w:id="1623461540">
      <w:bodyDiv w:val="1"/>
      <w:marLeft w:val="0"/>
      <w:marRight w:val="0"/>
      <w:marTop w:val="0"/>
      <w:marBottom w:val="0"/>
      <w:divBdr>
        <w:top w:val="none" w:sz="0" w:space="0" w:color="auto"/>
        <w:left w:val="none" w:sz="0" w:space="0" w:color="auto"/>
        <w:bottom w:val="none" w:sz="0" w:space="0" w:color="auto"/>
        <w:right w:val="none" w:sz="0" w:space="0" w:color="auto"/>
      </w:divBdr>
    </w:div>
    <w:div w:id="1632396749">
      <w:bodyDiv w:val="1"/>
      <w:marLeft w:val="0"/>
      <w:marRight w:val="0"/>
      <w:marTop w:val="0"/>
      <w:marBottom w:val="0"/>
      <w:divBdr>
        <w:top w:val="none" w:sz="0" w:space="0" w:color="auto"/>
        <w:left w:val="none" w:sz="0" w:space="0" w:color="auto"/>
        <w:bottom w:val="none" w:sz="0" w:space="0" w:color="auto"/>
        <w:right w:val="none" w:sz="0" w:space="0" w:color="auto"/>
      </w:divBdr>
    </w:div>
    <w:div w:id="1650210890">
      <w:bodyDiv w:val="1"/>
      <w:marLeft w:val="0"/>
      <w:marRight w:val="0"/>
      <w:marTop w:val="0"/>
      <w:marBottom w:val="0"/>
      <w:divBdr>
        <w:top w:val="none" w:sz="0" w:space="0" w:color="auto"/>
        <w:left w:val="none" w:sz="0" w:space="0" w:color="auto"/>
        <w:bottom w:val="none" w:sz="0" w:space="0" w:color="auto"/>
        <w:right w:val="none" w:sz="0" w:space="0" w:color="auto"/>
      </w:divBdr>
    </w:div>
    <w:div w:id="1723209870">
      <w:bodyDiv w:val="1"/>
      <w:marLeft w:val="0"/>
      <w:marRight w:val="0"/>
      <w:marTop w:val="0"/>
      <w:marBottom w:val="0"/>
      <w:divBdr>
        <w:top w:val="none" w:sz="0" w:space="0" w:color="auto"/>
        <w:left w:val="none" w:sz="0" w:space="0" w:color="auto"/>
        <w:bottom w:val="none" w:sz="0" w:space="0" w:color="auto"/>
        <w:right w:val="none" w:sz="0" w:space="0" w:color="auto"/>
      </w:divBdr>
    </w:div>
    <w:div w:id="1734694070">
      <w:bodyDiv w:val="1"/>
      <w:marLeft w:val="0"/>
      <w:marRight w:val="0"/>
      <w:marTop w:val="0"/>
      <w:marBottom w:val="0"/>
      <w:divBdr>
        <w:top w:val="none" w:sz="0" w:space="0" w:color="auto"/>
        <w:left w:val="none" w:sz="0" w:space="0" w:color="auto"/>
        <w:bottom w:val="none" w:sz="0" w:space="0" w:color="auto"/>
        <w:right w:val="none" w:sz="0" w:space="0" w:color="auto"/>
      </w:divBdr>
    </w:div>
    <w:div w:id="1740397146">
      <w:bodyDiv w:val="1"/>
      <w:marLeft w:val="0"/>
      <w:marRight w:val="0"/>
      <w:marTop w:val="0"/>
      <w:marBottom w:val="0"/>
      <w:divBdr>
        <w:top w:val="none" w:sz="0" w:space="0" w:color="auto"/>
        <w:left w:val="none" w:sz="0" w:space="0" w:color="auto"/>
        <w:bottom w:val="none" w:sz="0" w:space="0" w:color="auto"/>
        <w:right w:val="none" w:sz="0" w:space="0" w:color="auto"/>
      </w:divBdr>
    </w:div>
    <w:div w:id="1761440138">
      <w:bodyDiv w:val="1"/>
      <w:marLeft w:val="0"/>
      <w:marRight w:val="0"/>
      <w:marTop w:val="0"/>
      <w:marBottom w:val="0"/>
      <w:divBdr>
        <w:top w:val="none" w:sz="0" w:space="0" w:color="auto"/>
        <w:left w:val="none" w:sz="0" w:space="0" w:color="auto"/>
        <w:bottom w:val="none" w:sz="0" w:space="0" w:color="auto"/>
        <w:right w:val="none" w:sz="0" w:space="0" w:color="auto"/>
      </w:divBdr>
    </w:div>
    <w:div w:id="1766072608">
      <w:bodyDiv w:val="1"/>
      <w:marLeft w:val="0"/>
      <w:marRight w:val="0"/>
      <w:marTop w:val="0"/>
      <w:marBottom w:val="0"/>
      <w:divBdr>
        <w:top w:val="none" w:sz="0" w:space="0" w:color="auto"/>
        <w:left w:val="none" w:sz="0" w:space="0" w:color="auto"/>
        <w:bottom w:val="none" w:sz="0" w:space="0" w:color="auto"/>
        <w:right w:val="none" w:sz="0" w:space="0" w:color="auto"/>
      </w:divBdr>
    </w:div>
    <w:div w:id="1832941507">
      <w:bodyDiv w:val="1"/>
      <w:marLeft w:val="0"/>
      <w:marRight w:val="0"/>
      <w:marTop w:val="0"/>
      <w:marBottom w:val="0"/>
      <w:divBdr>
        <w:top w:val="none" w:sz="0" w:space="0" w:color="auto"/>
        <w:left w:val="none" w:sz="0" w:space="0" w:color="auto"/>
        <w:bottom w:val="none" w:sz="0" w:space="0" w:color="auto"/>
        <w:right w:val="none" w:sz="0" w:space="0" w:color="auto"/>
      </w:divBdr>
    </w:div>
    <w:div w:id="1850027369">
      <w:bodyDiv w:val="1"/>
      <w:marLeft w:val="0"/>
      <w:marRight w:val="0"/>
      <w:marTop w:val="0"/>
      <w:marBottom w:val="0"/>
      <w:divBdr>
        <w:top w:val="none" w:sz="0" w:space="0" w:color="auto"/>
        <w:left w:val="none" w:sz="0" w:space="0" w:color="auto"/>
        <w:bottom w:val="none" w:sz="0" w:space="0" w:color="auto"/>
        <w:right w:val="none" w:sz="0" w:space="0" w:color="auto"/>
      </w:divBdr>
    </w:div>
    <w:div w:id="1883900225">
      <w:bodyDiv w:val="1"/>
      <w:marLeft w:val="0"/>
      <w:marRight w:val="0"/>
      <w:marTop w:val="0"/>
      <w:marBottom w:val="0"/>
      <w:divBdr>
        <w:top w:val="none" w:sz="0" w:space="0" w:color="auto"/>
        <w:left w:val="none" w:sz="0" w:space="0" w:color="auto"/>
        <w:bottom w:val="none" w:sz="0" w:space="0" w:color="auto"/>
        <w:right w:val="none" w:sz="0" w:space="0" w:color="auto"/>
      </w:divBdr>
    </w:div>
    <w:div w:id="1944265875">
      <w:bodyDiv w:val="1"/>
      <w:marLeft w:val="0"/>
      <w:marRight w:val="0"/>
      <w:marTop w:val="0"/>
      <w:marBottom w:val="0"/>
      <w:divBdr>
        <w:top w:val="none" w:sz="0" w:space="0" w:color="auto"/>
        <w:left w:val="none" w:sz="0" w:space="0" w:color="auto"/>
        <w:bottom w:val="none" w:sz="0" w:space="0" w:color="auto"/>
        <w:right w:val="none" w:sz="0" w:space="0" w:color="auto"/>
      </w:divBdr>
    </w:div>
    <w:div w:id="1958292397">
      <w:bodyDiv w:val="1"/>
      <w:marLeft w:val="0"/>
      <w:marRight w:val="0"/>
      <w:marTop w:val="0"/>
      <w:marBottom w:val="0"/>
      <w:divBdr>
        <w:top w:val="none" w:sz="0" w:space="0" w:color="auto"/>
        <w:left w:val="none" w:sz="0" w:space="0" w:color="auto"/>
        <w:bottom w:val="none" w:sz="0" w:space="0" w:color="auto"/>
        <w:right w:val="none" w:sz="0" w:space="0" w:color="auto"/>
      </w:divBdr>
    </w:div>
    <w:div w:id="1969236027">
      <w:bodyDiv w:val="1"/>
      <w:marLeft w:val="0"/>
      <w:marRight w:val="0"/>
      <w:marTop w:val="0"/>
      <w:marBottom w:val="0"/>
      <w:divBdr>
        <w:top w:val="none" w:sz="0" w:space="0" w:color="auto"/>
        <w:left w:val="none" w:sz="0" w:space="0" w:color="auto"/>
        <w:bottom w:val="none" w:sz="0" w:space="0" w:color="auto"/>
        <w:right w:val="none" w:sz="0" w:space="0" w:color="auto"/>
      </w:divBdr>
    </w:div>
    <w:div w:id="1971397625">
      <w:bodyDiv w:val="1"/>
      <w:marLeft w:val="0"/>
      <w:marRight w:val="0"/>
      <w:marTop w:val="0"/>
      <w:marBottom w:val="0"/>
      <w:divBdr>
        <w:top w:val="none" w:sz="0" w:space="0" w:color="auto"/>
        <w:left w:val="none" w:sz="0" w:space="0" w:color="auto"/>
        <w:bottom w:val="none" w:sz="0" w:space="0" w:color="auto"/>
        <w:right w:val="none" w:sz="0" w:space="0" w:color="auto"/>
      </w:divBdr>
    </w:div>
    <w:div w:id="2008289310">
      <w:bodyDiv w:val="1"/>
      <w:marLeft w:val="0"/>
      <w:marRight w:val="0"/>
      <w:marTop w:val="0"/>
      <w:marBottom w:val="0"/>
      <w:divBdr>
        <w:top w:val="none" w:sz="0" w:space="0" w:color="auto"/>
        <w:left w:val="none" w:sz="0" w:space="0" w:color="auto"/>
        <w:bottom w:val="none" w:sz="0" w:space="0" w:color="auto"/>
        <w:right w:val="none" w:sz="0" w:space="0" w:color="auto"/>
      </w:divBdr>
    </w:div>
    <w:div w:id="2046782898">
      <w:bodyDiv w:val="1"/>
      <w:marLeft w:val="0"/>
      <w:marRight w:val="0"/>
      <w:marTop w:val="0"/>
      <w:marBottom w:val="0"/>
      <w:divBdr>
        <w:top w:val="none" w:sz="0" w:space="0" w:color="auto"/>
        <w:left w:val="none" w:sz="0" w:space="0" w:color="auto"/>
        <w:bottom w:val="none" w:sz="0" w:space="0" w:color="auto"/>
        <w:right w:val="none" w:sz="0" w:space="0" w:color="auto"/>
      </w:divBdr>
    </w:div>
    <w:div w:id="2066104589">
      <w:bodyDiv w:val="1"/>
      <w:marLeft w:val="0"/>
      <w:marRight w:val="0"/>
      <w:marTop w:val="0"/>
      <w:marBottom w:val="0"/>
      <w:divBdr>
        <w:top w:val="none" w:sz="0" w:space="0" w:color="auto"/>
        <w:left w:val="none" w:sz="0" w:space="0" w:color="auto"/>
        <w:bottom w:val="none" w:sz="0" w:space="0" w:color="auto"/>
        <w:right w:val="none" w:sz="0" w:space="0" w:color="auto"/>
      </w:divBdr>
    </w:div>
    <w:div w:id="2093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196A-DC45-4B50-B663-9FB6F45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178</Words>
  <Characters>1020</Characters>
  <Application>Microsoft Office Word</Application>
  <DocSecurity>0</DocSecurity>
  <Lines>8</Lines>
  <Paragraphs>2</Paragraphs>
  <ScaleCrop>false</ScaleCrop>
  <Company>SkyUN.Org</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林晗lh</dc:creator>
  <cp:lastModifiedBy>刘寅ly</cp:lastModifiedBy>
  <cp:revision>75</cp:revision>
  <dcterms:created xsi:type="dcterms:W3CDTF">2017-06-01T09:41:00Z</dcterms:created>
  <dcterms:modified xsi:type="dcterms:W3CDTF">2019-09-05T07:41:00Z</dcterms:modified>
</cp:coreProperties>
</file>